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Achondroplasia Treatment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Achondroplasia Treatment (4)</w:t>
      </w:r>
    </w:p>
    <w:p>
      <w:pPr>
        <w:ind w:left="360"/>
      </w:pPr>
      <w:r>
        <w:t xml:space="preserve">1. </w:t>
      </w:r>
      <w:r>
        <w:rPr>
          <w:b/>
        </w:rPr>
        <w:t>Achondroplasia</w:t>
      </w:r>
      <w:r>
        <w:t xml:space="preserve"> (Distributor of surgical interventions)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Patient monitoring systems)</w:t>
      </w:r>
    </w:p>
    <w:p>
      <w:pPr>
        <w:ind w:left="360"/>
      </w:pPr>
      <w:r>
        <w:t xml:space="preserve">3. </w:t>
      </w:r>
      <w:r>
        <w:rPr>
          <w:b/>
        </w:rPr>
        <w:t>Ferdiatherapeutics</w:t>
      </w:r>
      <w:r>
        <w:t xml:space="preserve"> (Distributor of once-weekly peptide treatment for achondroplasia)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Specialty health services)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Amgen</w:t>
      </w:r>
      <w:r>
        <w:t xml:space="preserve"> (Participant in Enzyme Replacement Therapy)</w:t>
      </w:r>
    </w:p>
    <w:p>
      <w:pPr>
        <w:ind w:left="360"/>
      </w:pPr>
      <w:r>
        <w:t xml:space="preserve">2. </w:t>
      </w:r>
      <w:r>
        <w:rPr>
          <w:b/>
        </w:rPr>
        <w:t>Celerion</w:t>
      </w:r>
      <w:r>
        <w:t xml:space="preserve"> (Participant in Early Phase Clinical Services)</w:t>
      </w:r>
    </w:p>
    <w:p>
      <w:pPr>
        <w:ind w:left="360"/>
      </w:pPr>
      <w:r>
        <w:t xml:space="preserve">3. </w:t>
      </w:r>
      <w:r>
        <w:rPr>
          <w:b/>
        </w:rPr>
        <w:t>Fresenius Kabi</w:t>
      </w:r>
      <w:r>
        <w:t xml:space="preserve"> (Participant in Growth hormone therapy)</w:t>
      </w:r>
    </w:p>
    <w:p>
      <w:pPr>
        <w:ind w:left="360"/>
      </w:pPr>
      <w:r>
        <w:t xml:space="preserve">4. </w:t>
      </w:r>
      <w:r>
        <w:rPr>
          <w:b/>
        </w:rPr>
        <w:t>Genzyme</w:t>
      </w:r>
      <w:r>
        <w:t xml:space="preserve"> (Participant in Supportive Care Services)</w:t>
      </w:r>
    </w:p>
    <w:p>
      <w:pPr>
        <w:ind w:left="360"/>
      </w:pPr>
      <w:r>
        <w:t xml:space="preserve">5. </w:t>
      </w:r>
      <w:r>
        <w:rPr>
          <w:b/>
        </w:rPr>
        <w:t>IQVIA</w:t>
      </w:r>
      <w:r>
        <w:t xml:space="preserve"> (Participant in Safety &amp; Regulatory Compliance)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