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Acute Invasive Aspergillosis Treatment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Acute Invasive Aspergillosis Treatment (8)</w:t>
      </w:r>
    </w:p>
    <w:p>
      <w:pPr>
        <w:ind w:left="360"/>
      </w:pPr>
      <w:r>
        <w:t xml:space="preserve">1. </w:t>
      </w:r>
      <w:r>
        <w:rPr>
          <w:b/>
        </w:rPr>
        <w:t>Alvogen</w:t>
      </w:r>
      <w:r>
        <w:t xml:space="preserve"> (Distributor of Pharmaceutical products)</w:t>
      </w:r>
    </w:p>
    <w:p>
      <w:pPr>
        <w:ind w:left="360"/>
      </w:pPr>
      <w:r>
        <w:t xml:space="preserve">2. </w:t>
      </w:r>
      <w:r>
        <w:rPr>
          <w:b/>
        </w:rPr>
        <w:t>AmerisourceBergen</w:t>
      </w:r>
      <w:r>
        <w:t xml:space="preserve"> (Distributor of healthcare service integration)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Healthcare service integration)</w:t>
      </w:r>
    </w:p>
    <w:p>
      <w:pPr>
        <w:ind w:left="360"/>
      </w:pPr>
      <w:r>
        <w:t xml:space="preserve">4. </w:t>
      </w:r>
      <w:r>
        <w:rPr>
          <w:b/>
        </w:rPr>
        <w:t>Fresenius Kabi</w:t>
      </w:r>
      <w:r>
        <w:t xml:space="preserve"> (Distributor of Isavuconazole)</w:t>
      </w:r>
    </w:p>
    <w:p>
      <w:pPr>
        <w:ind w:left="360"/>
      </w:pPr>
      <w:r>
        <w:t xml:space="preserve">5. </w:t>
      </w:r>
      <w:r>
        <w:rPr>
          <w:b/>
        </w:rPr>
        <w:t>Henry Schein</w:t>
      </w:r>
      <w:r>
        <w:t xml:space="preserve"> (Distributor of healthcare service integration)</w:t>
      </w:r>
    </w:p>
    <w:p>
      <w:pPr>
        <w:ind w:left="360"/>
      </w:pPr>
      <w:r>
        <w:t xml:space="preserve">6. </w:t>
      </w:r>
      <w:r>
        <w:rPr>
          <w:b/>
        </w:rPr>
        <w:t>McKesson</w:t>
      </w:r>
      <w:r>
        <w:t xml:space="preserve"> (Distributor of Healthcare service integration)</w:t>
      </w:r>
    </w:p>
    <w:p>
      <w:pPr>
        <w:ind w:left="360"/>
      </w:pPr>
      <w:r>
        <w:t xml:space="preserve">7. </w:t>
      </w:r>
      <w:r>
        <w:rPr>
          <w:b/>
        </w:rPr>
        <w:t>Owens &amp; Minor</w:t>
      </w:r>
      <w:r>
        <w:t xml:space="preserve"> (Distributor of Medical supply distribution)</w:t>
      </w:r>
    </w:p>
    <w:p>
      <w:pPr>
        <w:ind w:left="360"/>
      </w:pPr>
      <w:r>
        <w:t xml:space="preserve">8. </w:t>
      </w:r>
      <w:r>
        <w:rPr>
          <w:b/>
        </w:rPr>
        <w:t>Sagent Pharmaceuticals</w:t>
      </w:r>
      <w:r>
        <w:t xml:space="preserve"> (Distributor of Ready-to-use injectables)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Aspergillosis</w:t>
      </w:r>
      <w:r>
        <w:t xml:space="preserve"> (Participant in patient support resources)</w:t>
      </w:r>
    </w:p>
    <w:p>
      <w:pPr>
        <w:ind w:left="360"/>
      </w:pPr>
      <w:r>
        <w:t xml:space="preserve">2. </w:t>
      </w:r>
      <w:r>
        <w:rPr>
          <w:b/>
        </w:rPr>
        <w:t>Celerion</w:t>
      </w:r>
      <w:r>
        <w:t xml:space="preserve"> (Participant in Early Phase Clinical Services)</w:t>
      </w:r>
    </w:p>
    <w:p>
      <w:pPr>
        <w:ind w:left="360"/>
      </w:pPr>
      <w:r>
        <w:t xml:space="preserve">3. </w:t>
      </w:r>
      <w:r>
        <w:rPr>
          <w:b/>
        </w:rPr>
        <w:t>CureVac</w:t>
      </w:r>
      <w:r>
        <w:t xml:space="preserve"> (Participant in clinical trial services)</w:t>
      </w:r>
    </w:p>
    <w:p>
      <w:pPr>
        <w:ind w:left="360"/>
      </w:pPr>
      <w:r>
        <w:t xml:space="preserve">4. </w:t>
      </w:r>
      <w:r>
        <w:rPr>
          <w:b/>
        </w:rPr>
        <w:t>Thermo Fisher Scientific</w:t>
      </w:r>
      <w:r>
        <w:t xml:space="preserve"> (Participant in TaqMan Real-Time PCR Assays)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Alldaychemist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