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Bulimia Nervosa Treatment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Bulimia Nervosa Treatment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Centerfordiscovery</w:t>
      </w:r>
      <w:r>
        <w:t xml:space="preserve"> (Distributor of confidential)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Mentalhealth</w:t>
      </w:r>
      <w:r>
        <w:t xml:space="preserve"> (Distributor of mental)</w:t>
      </w:r>
    </w:p>
    <w:p>
      <w:pPr>
        <w:ind w:left="360"/>
      </w:pPr>
      <w:r>
        <w:t xml:space="preserve">6. </w:t>
      </w:r>
      <w:r>
        <w:rPr>
          <w:b/>
        </w:rPr>
        <w:t>Montenido</w:t>
      </w:r>
      <w:r>
        <w:t xml:space="preserve"> (Distributor of working)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4.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7. </w:t>
      </w:r>
      <w:r>
        <w:rPr>
          <w:b/>
        </w:rPr>
        <w:t>UnitedHealth Group</w:t>
      </w:r>
      <w:r>
        <w:t xml:space="preserve"> (Participant in unitedhealthgroup)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