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Capillary Electrophoresis Market</w:t>
      </w:r>
    </w:p>
    <w:p>
      <w:r>
        <w:rPr>
          <w:i/>
        </w:rPr>
        <w:t>Geography: global     Companies: 10</w:t>
      </w:r>
    </w:p>
    <w:p>
      <w:pPr>
        <w:pStyle w:val="Heading1"/>
      </w:pPr>
      <w:r>
        <w:t>Distributors of Capillary Electrophoresis (4)</w:t>
      </w:r>
    </w:p>
    <w:p>
      <w:pPr>
        <w:ind w:left="360"/>
      </w:pPr>
      <w:r>
        <w:t xml:space="preserve">1. </w:t>
      </w:r>
      <w:r>
        <w:rPr>
          <w:b/>
        </w:rPr>
        <w:t>Charles River Laboratories</w:t>
      </w:r>
      <w:r>
        <w:t xml:space="preserve"> (Distributor of possibilities)</w:t>
      </w:r>
    </w:p>
    <w:p>
      <w:pPr>
        <w:ind w:left="360"/>
      </w:pPr>
      <w:r>
        <w:t xml:space="preserve">2. </w:t>
      </w:r>
      <w:r>
        <w:rPr>
          <w:b/>
        </w:rPr>
        <w:t>Fisher Scientific</w:t>
      </w:r>
      <w:r>
        <w:t xml:space="preserve"> (Distributor of accessibility)</w:t>
      </w:r>
    </w:p>
    <w:p>
      <w:pPr>
        <w:ind w:left="360"/>
      </w:pPr>
      <w:r>
        <w:t xml:space="preserve">3. </w:t>
      </w:r>
      <w:r>
        <w:rPr>
          <w:b/>
        </w:rPr>
        <w:t>Healthgenetech</w:t>
      </w:r>
      <w:r>
        <w:t xml:space="preserve"> (Distributor of precision)</w:t>
      </w:r>
    </w:p>
    <w:p>
      <w:pPr>
        <w:ind w:left="360"/>
      </w:pPr>
      <w:r>
        <w:t xml:space="preserve">4. </w:t>
      </w:r>
      <w:r>
        <w:rPr>
          <w:b/>
        </w:rPr>
        <w:t>VWR International</w:t>
      </w:r>
      <w:r>
        <w:t xml:space="preserve"> (Distributor of laboratory supplies and equipment for capillary electrophoresis)</w:t>
      </w:r>
    </w:p>
    <w:p>
      <w:pPr>
        <w:pStyle w:val="Heading1"/>
      </w:pPr>
      <w:r>
        <w:t>Other (6)</w:t>
      </w:r>
    </w:p>
    <w:p>
      <w:pPr>
        <w:ind w:left="360"/>
      </w:pPr>
      <w:r>
        <w:t xml:space="preserve">1. </w:t>
      </w:r>
      <w:r>
        <w:rPr>
          <w:b/>
        </w:rPr>
        <w:t>Celerion</w:t>
      </w:r>
      <w:r>
        <w:t xml:space="preserve"> (Participant in nitrosamine)</w:t>
      </w:r>
    </w:p>
    <w:p>
      <w:pPr>
        <w:ind w:left="360"/>
      </w:pPr>
      <w:r>
        <w:t xml:space="preserve">2. </w:t>
      </w:r>
      <w:r>
        <w:rPr>
          <w:b/>
        </w:rPr>
        <w:t>LabX</w:t>
      </w:r>
      <w:r>
        <w:t xml:space="preserve"> (Participant in account)</w:t>
      </w:r>
    </w:p>
    <w:p>
      <w:pPr>
        <w:ind w:left="360"/>
      </w:pPr>
      <w:r>
        <w:t xml:space="preserve">3. </w:t>
      </w:r>
      <w:r>
        <w:rPr>
          <w:b/>
        </w:rPr>
        <w:t>PerkinElmer</w:t>
      </w:r>
      <w:r>
        <w:t xml:space="preserve"> (Participant in request)</w:t>
      </w:r>
    </w:p>
    <w:p>
      <w:pPr>
        <w:ind w:left="360"/>
      </w:pPr>
      <w:r>
        <w:t xml:space="preserve">4. </w:t>
      </w:r>
      <w:r>
        <w:rPr>
          <w:b/>
        </w:rPr>
        <w:t>Sartorius AG</w:t>
      </w:r>
      <w:r>
        <w:t xml:space="preserve"> (Participant in product)</w:t>
      </w:r>
    </w:p>
    <w:p>
      <w:pPr>
        <w:ind w:left="360"/>
      </w:pPr>
      <w:r>
        <w:t xml:space="preserve">5. </w:t>
      </w:r>
      <w:r>
        <w:rPr>
          <w:b/>
        </w:rPr>
        <w:t>Thermo Fisher Scientific</w:t>
      </w:r>
      <w:r>
        <w:t xml:space="preserve"> (Participant in hamburger)</w:t>
      </w:r>
    </w:p>
    <w:p>
      <w:pPr>
        <w:ind w:left="360"/>
      </w:pPr>
      <w:r>
        <w:t xml:space="preserve">6. </w:t>
      </w:r>
      <w:r>
        <w:rPr>
          <w:b/>
        </w:rPr>
        <w:t>Waters</w:t>
      </w:r>
      <w:r>
        <w:t xml:space="preserve"> (Participant in comprehensive)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