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Cationic Dyes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Cationic Dyes (2)</w:t>
      </w:r>
    </w:p>
    <w:p>
      <w:pPr>
        <w:ind w:left="360"/>
      </w:pPr>
      <w:r>
        <w:t xml:space="preserve">1. </w:t>
      </w:r>
      <w:r>
        <w:rPr>
          <w:b/>
        </w:rPr>
        <w:t>BASF</w:t>
      </w:r>
      <w:r>
        <w:t xml:space="preserve"> (Distributor of quarterly)</w:t>
      </w:r>
    </w:p>
    <w:p>
      <w:pPr>
        <w:ind w:left="360"/>
      </w:pPr>
      <w:r>
        <w:t xml:space="preserve">2. </w:t>
      </w:r>
      <w:r>
        <w:rPr>
          <w:b/>
        </w:rPr>
        <w:t>Kraton</w:t>
      </w:r>
      <w:r>
        <w:t xml:space="preserve"> (Distributor of corporation)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Colorant Chromatics</w:t>
      </w:r>
      <w:r>
        <w:t xml:space="preserve"> (Participant in dye distributor and reseller for cationic dyes)</w:t>
      </w:r>
    </w:p>
    <w:p>
      <w:pPr>
        <w:ind w:left="360"/>
      </w:pPr>
      <w:r>
        <w:t xml:space="preserve">2. </w:t>
      </w:r>
      <w:r>
        <w:rPr>
          <w:b/>
        </w:rPr>
        <w:t>Dye Solutions</w:t>
      </w:r>
      <w:r>
        <w:t xml:space="preserve"> (Participant in dye service provider for cationic dyes)</w:t>
      </w:r>
    </w:p>
    <w:p>
      <w:pPr>
        <w:ind w:left="360"/>
      </w:pPr>
      <w:r>
        <w:t xml:space="preserve">3. </w:t>
      </w:r>
      <w:r>
        <w:rPr>
          <w:b/>
        </w:rPr>
        <w:t>Fabrics &amp; Dyes</w:t>
      </w:r>
      <w:r>
        <w:t xml:space="preserve"> (Participant in Reseller of textile dyes)</w:t>
      </w:r>
    </w:p>
    <w:p>
      <w:pPr>
        <w:ind w:left="360"/>
      </w:pPr>
      <w:r>
        <w:t xml:space="preserve">4. </w:t>
      </w:r>
      <w:r>
        <w:rPr>
          <w:b/>
        </w:rPr>
        <w:t>Sichem</w:t>
      </w:r>
      <w:r>
        <w:t xml:space="preserve"> (Participant in dye distributor and reseller for cationic dyes)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