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Therapy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Cell Therapy (8)</w:t>
      </w:r>
    </w:p>
    <w:p>
      <w:pPr>
        <w:ind w:left="360"/>
      </w:pPr>
      <w:r>
        <w:t xml:space="preserve">1. </w:t>
      </w:r>
      <w:r>
        <w:rPr>
          <w:b/>
        </w:rPr>
        <w:t>Apex Biologix</w:t>
      </w:r>
      <w:r>
        <w:t xml:space="preserve"> (Distributor of reviewed)</w:t>
      </w:r>
    </w:p>
    <w:p>
      <w:pPr>
        <w:ind w:left="360"/>
      </w:pPr>
      <w:r>
        <w:t xml:space="preserve">2. </w:t>
      </w:r>
      <w:r>
        <w:rPr>
          <w:b/>
        </w:rPr>
        <w:t>BioLife Sciences</w:t>
      </w:r>
      <w:r>
        <w:t xml:space="preserve"> (Distributor of thumbnail)</w:t>
      </w:r>
    </w:p>
    <w:p>
      <w:pPr>
        <w:ind w:left="360"/>
      </w:pPr>
      <w:r>
        <w:t xml:space="preserve">3. </w:t>
      </w:r>
      <w:r>
        <w:rPr>
          <w:b/>
        </w:rPr>
        <w:t>Bioresetmedical</w:t>
      </w:r>
      <w:r>
        <w:t xml:space="preserve"> (Distributor of bioreset)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Celltherapy360</w:t>
      </w:r>
      <w:r>
        <w:t xml:space="preserve"> (Distributor of assistance)</w:t>
      </w:r>
    </w:p>
    <w:p>
      <w:pPr>
        <w:ind w:left="360"/>
      </w:pPr>
      <w:r>
        <w:t xml:space="preserve">6. </w:t>
      </w:r>
      <w:r>
        <w:rPr>
          <w:b/>
        </w:rPr>
        <w:t>Longevium</w:t>
      </w:r>
      <w:r>
        <w:t xml:space="preserve"> (Distributor of polyclinic)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CureVac</w:t>
      </w:r>
      <w:r>
        <w:t xml:space="preserve"> (Participant in successfully)</w:t>
      </w:r>
    </w:p>
    <w:p>
      <w:pPr>
        <w:ind w:left="360"/>
      </w:pPr>
      <w:r>
        <w:t xml:space="preserve">3. </w:t>
      </w:r>
      <w:r>
        <w:rPr>
          <w:b/>
        </w:rPr>
        <w:t>Cytiva</w:t>
      </w:r>
      <w:r>
        <w:t xml:space="preserve"> (Participant in System integrator for bioprocessing including cell therapies)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5. </w:t>
      </w:r>
      <w:r>
        <w:rPr>
          <w:b/>
        </w:rPr>
        <w:t>Kite Pharma</w:t>
      </w:r>
      <w:r>
        <w:t xml:space="preserve"> (Participant in browser)</w:t>
      </w:r>
    </w:p>
    <w:p>
      <w:pPr>
        <w:ind w:left="360"/>
      </w:pPr>
      <w:r>
        <w:t xml:space="preserve">6. </w:t>
      </w:r>
      <w:r>
        <w:rPr>
          <w:b/>
        </w:rPr>
        <w:t>Kytopen</w:t>
      </w:r>
      <w:r>
        <w:t xml:space="preserve"> (Participant in technology)</w:t>
      </w:r>
    </w:p>
    <w:p>
      <w:pPr>
        <w:ind w:left="360"/>
      </w:pPr>
      <w:r>
        <w:t xml:space="preserve">7. </w:t>
      </w:r>
      <w:r>
        <w:rPr>
          <w:b/>
        </w:rPr>
        <w:t>Lonza</w:t>
      </w:r>
      <w:r>
        <w:t xml:space="preserve"> (Participant in integrated)</w:t>
      </w:r>
    </w:p>
    <w:p>
      <w:pPr>
        <w:ind w:left="360"/>
      </w:pPr>
      <w:r>
        <w:t xml:space="preserve">8. </w:t>
      </w:r>
      <w:r>
        <w:rPr>
          <w:b/>
        </w:rPr>
        <w:t>Miltenyi Biotec</w:t>
      </w:r>
      <w:r>
        <w:t xml:space="preserve"> (Participant in Service provider for cell therapy solutions)</w:t>
      </w:r>
    </w:p>
    <w:p>
      <w:pPr>
        <w:ind w:left="360"/>
      </w:pPr>
      <w:r>
        <w:t xml:space="preserve">9. </w:t>
      </w:r>
      <w:r>
        <w:rPr>
          <w:b/>
        </w:rPr>
        <w:t>Sartorius</w:t>
      </w:r>
      <w:r>
        <w:t xml:space="preserve"> (Participant in product)</w:t>
      </w:r>
    </w:p>
    <w:p>
      <w:pPr>
        <w:ind w:left="360"/>
      </w:pPr>
      <w:r>
        <w:t xml:space="preserve">10. </w:t>
      </w:r>
      <w:r>
        <w:rPr>
          <w:b/>
        </w:rPr>
        <w:t>Vericel</w:t>
      </w:r>
      <w:r>
        <w:t xml:space="preserve"> (Participant in Service provider for cell therapy integration)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