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Charcot-Marie-Tooth Disease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Charcot-Marie-Tooth Disease (6)</w:t>
      </w:r>
    </w:p>
    <w:p>
      <w:pPr>
        <w:ind w:left="360"/>
      </w:pPr>
      <w:r>
        <w:t xml:space="preserve">1. </w:t>
      </w:r>
      <w:r>
        <w:rPr>
          <w:b/>
        </w:rPr>
        <w:t>AbbVie</w:t>
      </w:r>
      <w:r>
        <w:t xml:space="preserve"> (Distributor of principles)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Medline Industries</w:t>
      </w:r>
      <w:r>
        <w:t xml:space="preserve"> (Distributor of healthcare products for Charcot-Marie-Tooth Disease)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ind w:left="360"/>
      </w:pPr>
      <w:r>
        <w:t xml:space="preserve">6. </w:t>
      </w:r>
      <w:r>
        <w:rPr>
          <w:b/>
        </w:rPr>
        <w:t>Zynerba Pharmaceuticals</w:t>
      </w:r>
      <w:r>
        <w:t xml:space="preserve"> (Distributor of biosciences)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Alimera Sciences</w:t>
      </w:r>
      <w:r>
        <w:t xml:space="preserve"> (Participant in reseller of therapies for Charcot-Marie-Tooth Disease)</w:t>
      </w:r>
    </w:p>
    <w:p>
      <w:pPr>
        <w:ind w:left="360"/>
      </w:pPr>
      <w:r>
        <w:t xml:space="preserve">2. </w:t>
      </w:r>
      <w:r>
        <w:rPr>
          <w:b/>
        </w:rPr>
        <w:t>Hanger Clinic</w:t>
      </w:r>
      <w:r>
        <w:t xml:space="preserve"> (Participant in newsroom)</w:t>
      </w:r>
    </w:p>
    <w:p>
      <w:pPr>
        <w:ind w:left="360"/>
      </w:pPr>
      <w:r>
        <w:t xml:space="preserve">3. </w:t>
      </w:r>
      <w:r>
        <w:rPr>
          <w:b/>
        </w:rPr>
        <w:t>Mediware</w:t>
      </w:r>
      <w:r>
        <w:t xml:space="preserve"> (Participant in system integrator for healthcare for Charcot-Marie-Tooth Disease)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myscripps)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