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Clinical Data Management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Clinical Data Management (1)</w:t>
      </w:r>
    </w:p>
    <w:p>
      <w:pPr>
        <w:ind w:left="360"/>
      </w:pPr>
      <w:r>
        <w:t xml:space="preserve">1. </w:t>
      </w:r>
      <w:r>
        <w:rPr>
          <w:b/>
        </w:rPr>
        <w:t>WCG Clinical</w:t>
      </w:r>
      <w:r>
        <w:t xml:space="preserve"> (Distributor of resource)</w:t>
      </w:r>
    </w:p>
    <w:p>
      <w:pPr>
        <w:pStyle w:val="Heading1"/>
      </w:pPr>
      <w:r>
        <w:t>Other (12)</w:t>
      </w:r>
    </w:p>
    <w:p>
      <w:pPr>
        <w:ind w:left="360"/>
      </w:pPr>
      <w:r>
        <w:t xml:space="preserve">1. </w:t>
      </w:r>
      <w:r>
        <w:rPr>
          <w:b/>
        </w:rPr>
        <w:t>BioClinica</w:t>
      </w:r>
      <w:r>
        <w:t xml:space="preserve"> (Participant in unsupported)</w:t>
      </w:r>
    </w:p>
    <w:p>
      <w:pPr>
        <w:ind w:left="360"/>
      </w:pPr>
      <w:r>
        <w:t xml:space="preserve">2. </w:t>
      </w:r>
      <w:r>
        <w:rPr>
          <w:b/>
        </w:rPr>
        <w:t>Celerion</w:t>
      </w:r>
      <w:r>
        <w:t xml:space="preserve"> (Participant in nitrosamine)</w:t>
      </w:r>
    </w:p>
    <w:p>
      <w:pPr>
        <w:ind w:left="360"/>
      </w:pPr>
      <w:r>
        <w:t xml:space="preserve">3. </w:t>
      </w:r>
      <w:r>
        <w:rPr>
          <w:b/>
        </w:rPr>
        <w:t>CROMSOURCE</w:t>
      </w:r>
      <w:r>
        <w:t xml:space="preserve"> (Participant in Clinical trial outsourcing services)</w:t>
      </w:r>
    </w:p>
    <w:p>
      <w:pPr>
        <w:ind w:left="360"/>
      </w:pPr>
      <w:r>
        <w:t xml:space="preserve">4. </w:t>
      </w:r>
      <w:r>
        <w:rPr>
          <w:b/>
        </w:rPr>
        <w:t>eClinical Solutions</w:t>
      </w:r>
      <w:r>
        <w:t xml:space="preserve"> (Participant in colored)</w:t>
      </w:r>
    </w:p>
    <w:p>
      <w:pPr>
        <w:ind w:left="360"/>
      </w:pPr>
      <w:r>
        <w:t xml:space="preserve">5. </w:t>
      </w:r>
      <w:r>
        <w:rPr>
          <w:b/>
        </w:rPr>
        <w:t>IBM Watson Health</w:t>
      </w:r>
      <w:r>
        <w:t xml:space="preserve"> (Participant in identity)</w:t>
      </w:r>
    </w:p>
    <w:p>
      <w:pPr>
        <w:ind w:left="360"/>
      </w:pPr>
      <w:r>
        <w:t xml:space="preserve">6. </w:t>
      </w:r>
      <w:r>
        <w:rPr>
          <w:b/>
        </w:rPr>
        <w:t>Medidata Solutions</w:t>
      </w:r>
      <w:r>
        <w:t xml:space="preserve"> (Participant in organization)</w:t>
      </w:r>
    </w:p>
    <w:p>
      <w:pPr>
        <w:ind w:left="360"/>
      </w:pPr>
      <w:r>
        <w:t xml:space="preserve">7. </w:t>
      </w:r>
      <w:r>
        <w:rPr>
          <w:b/>
        </w:rPr>
        <w:t>Oracle Health Sciences</w:t>
      </w:r>
      <w:r>
        <w:t xml:space="preserve"> (Participant in accessibility)</w:t>
      </w:r>
    </w:p>
    <w:p>
      <w:pPr>
        <w:ind w:left="360"/>
      </w:pPr>
      <w:r>
        <w:t xml:space="preserve">8. </w:t>
      </w:r>
      <w:r>
        <w:rPr>
          <w:b/>
        </w:rPr>
        <w:t>Parexel International</w:t>
      </w:r>
      <w:r>
        <w:t xml:space="preserve"> (Participant in throughout)</w:t>
      </w:r>
    </w:p>
    <w:p>
      <w:pPr>
        <w:ind w:left="360"/>
      </w:pPr>
      <w:r>
        <w:t xml:space="preserve">9. </w:t>
      </w:r>
      <w:r>
        <w:rPr>
          <w:b/>
        </w:rPr>
        <w:t>PRA Health Sciences</w:t>
      </w:r>
      <w:r>
        <w:t xml:space="preserve"> (Participant in Clinical development services)</w:t>
      </w:r>
    </w:p>
    <w:p>
      <w:pPr>
        <w:ind w:left="360"/>
      </w:pPr>
      <w:r>
        <w:t xml:space="preserve">10. </w:t>
      </w:r>
      <w:r>
        <w:rPr>
          <w:b/>
        </w:rPr>
        <w:t>Q2 Solutions</w:t>
      </w:r>
      <w:r>
        <w:t xml:space="preserve"> (Participant in Laboratory services for clinical trials)</w:t>
      </w:r>
    </w:p>
    <w:p>
      <w:pPr>
        <w:ind w:left="360"/>
      </w:pPr>
      <w:r>
        <w:t xml:space="preserve">11. </w:t>
      </w:r>
      <w:r>
        <w:rPr>
          <w:b/>
        </w:rPr>
        <w:t>Syneos Health</w:t>
      </w:r>
      <w:r>
        <w:t xml:space="preserve"> (Participant in secondary)</w:t>
      </w:r>
    </w:p>
    <w:p>
      <w:pPr>
        <w:ind w:left="360"/>
      </w:pPr>
      <w:r>
        <w:t xml:space="preserve">12. </w:t>
      </w:r>
      <w:r>
        <w:rPr>
          <w:b/>
        </w:rPr>
        <w:t>Veeva Systems</w:t>
      </w:r>
      <w:r>
        <w:t xml:space="preserve"> (Participant in support)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