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Workflow Solutions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Clinical Workflow Solutions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Myfitverse</w:t>
      </w:r>
      <w:r>
        <w:t xml:space="preserve"> (Distributor of fitversehealthcare)</w:t>
      </w:r>
    </w:p>
    <w:p>
      <w:pPr>
        <w:ind w:left="360"/>
      </w:pPr>
      <w:r>
        <w:t xml:space="preserve">5.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2. </w:t>
      </w:r>
      <w:r>
        <w:rPr>
          <w:b/>
        </w:rPr>
        <w:t>Athenahealth</w:t>
      </w:r>
      <w:r>
        <w:t xml:space="preserve"> (Participant in athenaone)</w:t>
      </w:r>
    </w:p>
    <w:p>
      <w:pPr>
        <w:ind w:left="360"/>
      </w:pPr>
      <w:r>
        <w:t xml:space="preserve">3. </w:t>
      </w:r>
      <w:r>
        <w:rPr>
          <w:b/>
        </w:rPr>
        <w:t>Dell Technologies</w:t>
      </w:r>
      <w:r>
        <w:t xml:space="preserve"> (Participant in Technology solutions)</w:t>
      </w:r>
    </w:p>
    <w:p>
      <w:pPr>
        <w:ind w:left="360"/>
      </w:pPr>
      <w:r>
        <w:t xml:space="preserve">4. </w:t>
      </w:r>
      <w:r>
        <w:rPr>
          <w:b/>
        </w:rPr>
        <w:t>IBM Watson Health</w:t>
      </w:r>
      <w:r>
        <w:t xml:space="preserve"> (Participant in identity)</w:t>
      </w:r>
    </w:p>
    <w:p>
      <w:pPr>
        <w:ind w:left="360"/>
      </w:pPr>
      <w:r>
        <w:t xml:space="preserve">5.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6.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