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Congenital Hyperinsulinism Treatment Market</w:t>
      </w:r>
    </w:p>
    <w:p>
      <w:r>
        <w:rPr>
          <w:i/>
        </w:rPr>
        <w:t>Geography: global     Companies: 8</w:t>
      </w:r>
    </w:p>
    <w:p>
      <w:pPr>
        <w:pStyle w:val="Heading1"/>
      </w:pPr>
      <w:r>
        <w:t>Distributors of Congenital Hyperinsulinism Treatment (5)</w:t>
      </w:r>
    </w:p>
    <w:p>
      <w:pPr>
        <w:ind w:left="360"/>
      </w:pPr>
      <w:r>
        <w:t xml:space="preserve">1. </w:t>
      </w:r>
      <w:r>
        <w:rPr>
          <w:b/>
        </w:rPr>
        <w:t>AmerisourceBergen</w:t>
      </w:r>
      <w:r>
        <w:t xml:space="preserve"> (Distributor of manufacturer)</w:t>
      </w:r>
    </w:p>
    <w:p>
      <w:pPr>
        <w:ind w:left="360"/>
      </w:pPr>
      <w:r>
        <w:t xml:space="preserve">2. </w:t>
      </w:r>
      <w:r>
        <w:rPr>
          <w:b/>
        </w:rPr>
        <w:t>Cardinal Health</w:t>
      </w:r>
      <w:r>
        <w:t xml:space="preserve"> (Distributor of investors)</w:t>
      </w:r>
    </w:p>
    <w:p>
      <w:pPr>
        <w:ind w:left="360"/>
      </w:pPr>
      <w:r>
        <w:t xml:space="preserve">3. </w:t>
      </w:r>
      <w:r>
        <w:rPr>
          <w:b/>
        </w:rPr>
        <w:t>Deloitte</w:t>
      </w:r>
      <w:r>
        <w:t xml:space="preserve"> (Distributor of window)</w:t>
      </w:r>
    </w:p>
    <w:p>
      <w:pPr>
        <w:ind w:left="360"/>
      </w:pPr>
      <w:r>
        <w:t xml:space="preserve">4. </w:t>
      </w:r>
      <w:r>
        <w:rPr>
          <w:b/>
        </w:rPr>
        <w:t>McKesson</w:t>
      </w:r>
      <w:r>
        <w:t xml:space="preserve"> (Distributor of explore)</w:t>
      </w:r>
    </w:p>
    <w:p>
      <w:pPr>
        <w:ind w:left="360"/>
      </w:pPr>
      <w:r>
        <w:t xml:space="preserve">5. </w:t>
      </w:r>
      <w:r>
        <w:rPr>
          <w:b/>
        </w:rPr>
        <w:t>Walgreens Boots Alliance</w:t>
      </w:r>
      <w:r>
        <w:t xml:space="preserve"> (Distributor of retail pharmacy and distribution for Congenital Hyperinsulinism Treatment)</w:t>
      </w:r>
    </w:p>
    <w:p>
      <w:pPr>
        <w:pStyle w:val="Heading1"/>
      </w:pPr>
      <w:r>
        <w:t>Other (3)</w:t>
      </w:r>
    </w:p>
    <w:p>
      <w:pPr>
        <w:ind w:left="360"/>
      </w:pPr>
      <w:r>
        <w:t xml:space="preserve">1. </w:t>
      </w:r>
      <w:r>
        <w:rPr>
          <w:b/>
        </w:rPr>
        <w:t>Accenture</w:t>
      </w:r>
      <w:r>
        <w:t xml:space="preserve"> (Participant in technology services)</w:t>
      </w:r>
    </w:p>
    <w:p>
      <w:pPr>
        <w:ind w:left="360"/>
      </w:pPr>
      <w:r>
        <w:t xml:space="preserve">2. </w:t>
      </w:r>
      <w:r>
        <w:rPr>
          <w:b/>
        </w:rPr>
        <w:t>Allscripts Healthcare Solutions</w:t>
      </w:r>
      <w:r>
        <w:t xml:space="preserve"> (Participant in recognized)</w:t>
      </w:r>
    </w:p>
    <w:p>
      <w:pPr>
        <w:ind w:left="360"/>
      </w:pPr>
      <w:r>
        <w:t xml:space="preserve">3. </w:t>
      </w:r>
      <w:r>
        <w:rPr>
          <w:b/>
        </w:rPr>
        <w:t>CVS Health</w:t>
      </w:r>
      <w:r>
        <w:t xml:space="preserve"> (Participant in caremark)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