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Cosentyx Drug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Cosentyx Drug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AstraZeneca</w:t>
      </w:r>
      <w:r>
        <w:t xml:space="preserve"> (Distributor of science)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Zywave</w:t>
      </w:r>
      <w:r>
        <w:t xml:space="preserve"> (Distributor of platform)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H.D. Smith</w:t>
      </w:r>
      <w:r>
        <w:t xml:space="preserve"> (Participant in and distributor for Cosentyx)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Pharmacyclics</w:t>
      </w:r>
      <w:r>
        <w:t xml:space="preserve"> (Participant)</w:t>
      </w:r>
    </w:p>
    <w:p>
      <w:pPr>
        <w:ind w:left="360"/>
      </w:pPr>
      <w:r>
        <w:t xml:space="preserve">5. </w:t>
      </w:r>
      <w:r>
        <w:rPr>
          <w:b/>
        </w:rPr>
        <w:t>Rite Aid</w:t>
      </w:r>
      <w:r>
        <w:t xml:space="preserve"> (Participant in retail pharmacy and reseller for Cosentyx)</w:t>
      </w:r>
    </w:p>
    <w:p>
      <w:pPr>
        <w:ind w:left="360"/>
      </w:pPr>
      <w:r>
        <w:t xml:space="preserve">6.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