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Crude Oil Desalter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Crude Oil Desalter (2)</w:t>
      </w:r>
    </w:p>
    <w:p>
      <w:pPr>
        <w:ind w:left="360"/>
      </w:pPr>
      <w:r>
        <w:t xml:space="preserve">1. </w:t>
      </w:r>
      <w:r>
        <w:rPr>
          <w:b/>
        </w:rPr>
        <w:t>Aker Solutions</w:t>
      </w:r>
      <w:r>
        <w:t xml:space="preserve"> (Distributor of quarter)</w:t>
      </w:r>
    </w:p>
    <w:p>
      <w:pPr>
        <w:ind w:left="360"/>
      </w:pPr>
      <w:r>
        <w:t xml:space="preserve">2. </w:t>
      </w:r>
      <w:r>
        <w:rPr>
          <w:b/>
        </w:rPr>
        <w:t>Veolia</w:t>
      </w:r>
      <w:r>
        <w:t xml:space="preserve"> (Distributor of ressourceurs)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Fluor</w:t>
      </w:r>
      <w:r>
        <w:t xml:space="preserve"> (Participant in expertise)</w:t>
      </w:r>
    </w:p>
    <w:p>
      <w:pPr>
        <w:ind w:left="360"/>
      </w:pPr>
      <w:r>
        <w:t xml:space="preserve">3.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4. </w:t>
      </w:r>
      <w:r>
        <w:rPr>
          <w:b/>
        </w:rPr>
        <w:t>Mott MacDonald</w:t>
      </w:r>
      <w:r>
        <w:t xml:space="preserve"> (Participant in projects)</w:t>
      </w:r>
    </w:p>
    <w:p>
      <w:pPr>
        <w:ind w:left="360"/>
      </w:pPr>
      <w:r>
        <w:t xml:space="preserve">5. </w:t>
      </w:r>
      <w:r>
        <w:rPr>
          <w:b/>
        </w:rPr>
        <w:t>National Oilwell Varco</w:t>
      </w:r>
      <w:r>
        <w:t xml:space="preserve"> (Participant in solution)</w:t>
      </w:r>
    </w:p>
    <w:p>
      <w:pPr>
        <w:ind w:left="360"/>
      </w:pPr>
      <w:r>
        <w:t xml:space="preserve">6.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7. </w:t>
      </w:r>
      <w:r>
        <w:rPr>
          <w:b/>
        </w:rPr>
        <w:t>TechnipFMC</w:t>
      </w:r>
      <w:r>
        <w:t xml:space="preserve"> (Participant in engineering and technology services for crude oil desalter)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