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Center as a Service Market</w:t>
      </w:r>
    </w:p>
    <w:p>
      <w:r>
        <w:rPr>
          <w:i/>
        </w:rPr>
        <w:t>Geography: global     Companies: 16</w:t>
      </w:r>
    </w:p>
    <w:p>
      <w:pPr>
        <w:pStyle w:val="Heading1"/>
      </w:pPr>
      <w:r>
        <w:t>Distributors of Data Center As A Service (7)</w:t>
      </w:r>
    </w:p>
    <w:p>
      <w:pPr>
        <w:ind w:left="360"/>
      </w:pPr>
      <w:r>
        <w:t xml:space="preserve">1. </w:t>
      </w:r>
      <w:r>
        <w:rPr>
          <w:b/>
        </w:rPr>
        <w:t>Accenture</w:t>
      </w:r>
      <w:r>
        <w:t xml:space="preserve"> (Distributor of footer)</w:t>
      </w:r>
    </w:p>
    <w:p>
      <w:pPr>
        <w:ind w:left="360"/>
      </w:pPr>
      <w:r>
        <w:t xml:space="preserve">2. </w:t>
      </w:r>
      <w:r>
        <w:rPr>
          <w:b/>
        </w:rPr>
        <w:t>Amazon Web Services</w:t>
      </w:r>
      <w:r>
        <w:t xml:space="preserve"> (Distributor of marketplace)</w:t>
      </w:r>
    </w:p>
    <w:p>
      <w:pPr>
        <w:ind w:left="360"/>
      </w:pPr>
      <w:r>
        <w:t xml:space="preserve">3. </w:t>
      </w:r>
      <w:r>
        <w:rPr>
          <w:b/>
        </w:rPr>
        <w:t>Datacenterwarehouse</w:t>
      </w:r>
      <w:r>
        <w:t xml:space="preserve"> (Distributor of storefront)</w:t>
      </w:r>
    </w:p>
    <w:p>
      <w:pPr>
        <w:ind w:left="360"/>
      </w:pPr>
      <w:r>
        <w:t xml:space="preserve">4. </w:t>
      </w:r>
      <w:r>
        <w:rPr>
          <w:b/>
        </w:rPr>
        <w:t>Deloitte</w:t>
      </w:r>
      <w:r>
        <w:t xml:space="preserve"> (Distributor of window)</w:t>
      </w:r>
    </w:p>
    <w:p>
      <w:pPr>
        <w:ind w:left="360"/>
      </w:pPr>
      <w:r>
        <w:t xml:space="preserve">5. </w:t>
      </w:r>
      <w:r>
        <w:rPr>
          <w:b/>
        </w:rPr>
        <w:t>Ingram Micro</w:t>
      </w:r>
      <w:r>
        <w:t xml:space="preserve"> (Distributor of customers)</w:t>
      </w:r>
    </w:p>
    <w:p>
      <w:pPr>
        <w:ind w:left="360"/>
      </w:pPr>
      <w:r>
        <w:t xml:space="preserve">6. </w:t>
      </w:r>
      <w:r>
        <w:rPr>
          <w:b/>
        </w:rPr>
        <w:t>Synnex</w:t>
      </w:r>
      <w:r>
        <w:t xml:space="preserve"> (Distributor of application)</w:t>
      </w:r>
    </w:p>
    <w:p>
      <w:pPr>
        <w:ind w:left="360"/>
      </w:pPr>
      <w:r>
        <w:t xml:space="preserve">7. </w:t>
      </w:r>
      <w:r>
        <w:rPr>
          <w:b/>
        </w:rPr>
        <w:t>Tech Data</w:t>
      </w:r>
      <w:r>
        <w:t xml:space="preserve"> (Distributor of destination)</w:t>
      </w:r>
    </w:p>
    <w:p>
      <w:pPr>
        <w:pStyle w:val="Heading1"/>
      </w:pPr>
      <w:r>
        <w:t>Other (9)</w:t>
      </w:r>
    </w:p>
    <w:p>
      <w:pPr>
        <w:ind w:left="360"/>
      </w:pPr>
      <w:r>
        <w:t xml:space="preserve">1. </w:t>
      </w:r>
      <w:r>
        <w:rPr>
          <w:b/>
        </w:rPr>
        <w:t>Asbis</w:t>
      </w:r>
      <w:r>
        <w:t xml:space="preserve"> (Participant in relations)</w:t>
      </w:r>
    </w:p>
    <w:p>
      <w:pPr>
        <w:ind w:left="360"/>
      </w:pPr>
      <w:r>
        <w:t xml:space="preserve">2. </w:t>
      </w:r>
      <w:r>
        <w:rPr>
          <w:b/>
        </w:rPr>
        <w:t>Capgemini</w:t>
      </w:r>
      <w:r>
        <w:t xml:space="preserve"> (Participant in insights)</w:t>
      </w:r>
    </w:p>
    <w:p>
      <w:pPr>
        <w:ind w:left="360"/>
      </w:pPr>
      <w:r>
        <w:t xml:space="preserve">3. </w:t>
      </w:r>
      <w:r>
        <w:rPr>
          <w:b/>
        </w:rPr>
        <w:t>Deltaelectronicsindia</w:t>
      </w:r>
      <w:r>
        <w:t xml:space="preserve"> (Participant in australia)</w:t>
      </w:r>
    </w:p>
    <w:p>
      <w:pPr>
        <w:ind w:left="360"/>
      </w:pPr>
      <w:r>
        <w:t xml:space="preserve">4. </w:t>
      </w:r>
      <w:r>
        <w:rPr>
          <w:b/>
        </w:rPr>
        <w:t>Equinix</w:t>
      </w:r>
      <w:r>
        <w:t xml:space="preserve"> (Participant in solutions)</w:t>
      </w:r>
    </w:p>
    <w:p>
      <w:pPr>
        <w:ind w:left="360"/>
      </w:pPr>
      <w:r>
        <w:t xml:space="preserve">5. </w:t>
      </w:r>
      <w:r>
        <w:rPr>
          <w:b/>
        </w:rPr>
        <w:t>IBM Cloud</w:t>
      </w:r>
      <w:r>
        <w:t xml:space="preserve"> (Participant in identity)</w:t>
      </w:r>
    </w:p>
    <w:p>
      <w:pPr>
        <w:ind w:left="360"/>
      </w:pPr>
      <w:r>
        <w:t xml:space="preserve">6. </w:t>
      </w:r>
      <w:r>
        <w:rPr>
          <w:b/>
        </w:rPr>
        <w:t>Insight Enterprises</w:t>
      </w:r>
      <w:r>
        <w:t xml:space="preserve"> (Participant in applications)</w:t>
      </w:r>
    </w:p>
    <w:p>
      <w:pPr>
        <w:ind w:left="360"/>
      </w:pPr>
      <w:r>
        <w:t xml:space="preserve">7. </w:t>
      </w:r>
      <w:r>
        <w:rPr>
          <w:b/>
        </w:rPr>
        <w:t>Microsoft Azure</w:t>
      </w:r>
      <w:r>
        <w:t xml:space="preserve"> (Participant in explore)</w:t>
      </w:r>
    </w:p>
    <w:p>
      <w:pPr>
        <w:ind w:left="360"/>
      </w:pPr>
      <w:r>
        <w:t xml:space="preserve">8. </w:t>
      </w:r>
      <w:r>
        <w:rPr>
          <w:b/>
        </w:rPr>
        <w:t>Rackspace</w:t>
      </w:r>
      <w:r>
        <w:t xml:space="preserve"> (Participant in marketplace)</w:t>
      </w:r>
    </w:p>
    <w:p>
      <w:pPr>
        <w:ind w:left="360"/>
      </w:pPr>
      <w:r>
        <w:t xml:space="preserve">9. </w:t>
      </w:r>
      <w:r>
        <w:rPr>
          <w:b/>
        </w:rPr>
        <w:t>SHI International</w:t>
      </w:r>
      <w:r>
        <w:t xml:space="preserve"> (Participant in data center as a service, cloud infrastructure)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