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Diabetic Ketoacidosis Treatment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Diabetic Ketoacidosis Treatment (5)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Abbott Laboratories</w:t>
      </w:r>
      <w:r>
        <w:t xml:space="preserve"> (Participant in diagnostics)</w:t>
      </w:r>
    </w:p>
    <w:p>
      <w:pPr>
        <w:ind w:left="360"/>
      </w:pPr>
      <w:r>
        <w:t xml:space="preserve">2. </w:t>
      </w:r>
      <w:r>
        <w:rPr>
          <w:b/>
        </w:rPr>
        <w:t>Cigna</w:t>
      </w:r>
      <w:r>
        <w:t xml:space="preserve"> (Participant in providers)</w:t>
      </w:r>
    </w:p>
    <w:p>
      <w:pPr>
        <w:ind w:left="360"/>
      </w:pPr>
      <w:r>
        <w:t xml:space="preserve">3.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4. </w:t>
      </w:r>
      <w:r>
        <w:rPr>
          <w:b/>
        </w:rPr>
        <w:t>Monarchmedtech</w:t>
      </w:r>
      <w:r>
        <w:t xml:space="preserve"> (Participant in resources)</w:t>
      </w:r>
    </w:p>
    <w:p>
      <w:pPr>
        <w:ind w:left="360"/>
      </w:pPr>
      <w:r>
        <w:t xml:space="preserve">5. </w:t>
      </w:r>
      <w:r>
        <w:rPr>
          <w:b/>
        </w:rPr>
        <w:t>Stryker</w:t>
      </w:r>
      <w:r>
        <w:t xml:space="preserve"> (Participant in international)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(Participant in retail pharmacy and wholesaling for Diabetic Ketoacidosis Treatment)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