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Disposable Medical Sensors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Disposable Medical Sensors (5)</w:t>
      </w:r>
    </w:p>
    <w:p>
      <w:pPr>
        <w:ind w:left="360"/>
      </w:pPr>
      <w:r>
        <w:t xml:space="preserve">1. </w:t>
      </w:r>
      <w:r>
        <w:rPr>
          <w:b/>
        </w:rPr>
        <w:t>Avsensors</w:t>
      </w:r>
      <w:r>
        <w:t xml:space="preserve"> (Distributor of sensors)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healthcare technology solutions provider for Disposable Medical Sensors)</w:t>
      </w:r>
    </w:p>
    <w:p>
      <w:pPr>
        <w:ind w:left="360"/>
      </w:pPr>
      <w:r>
        <w:t xml:space="preserve">3. </w:t>
      </w:r>
      <w:r>
        <w:rPr>
          <w:b/>
        </w:rPr>
        <w:t>Integratedmedicalsensors</w:t>
      </w:r>
      <w:r>
        <w:t xml:space="preserve"> (Participant in integrated)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6.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