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 Blood Gas And Electrolyte Analyzers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Eme Blood Gas And Electrolyte Analyzers (7)</w:t>
      </w:r>
    </w:p>
    <w:p>
      <w:pPr>
        <w:ind w:left="360"/>
      </w:pPr>
      <w:r>
        <w:t xml:space="preserve">1. </w:t>
      </w:r>
      <w:r>
        <w:rPr>
          <w:b/>
        </w:rPr>
        <w:t>Alleights</w:t>
      </w:r>
      <w:r>
        <w:t xml:space="preserve"> (Distributor of Electrolyte measurement systems)</w:t>
      </w:r>
    </w:p>
    <w:p>
      <w:pPr>
        <w:ind w:left="360"/>
      </w:pPr>
      <w:r>
        <w:t xml:space="preserve">2. </w:t>
      </w:r>
      <w:r>
        <w:rPr>
          <w:b/>
        </w:rPr>
        <w:t>Avam</w:t>
      </w:r>
      <w:r>
        <w:t xml:space="preserve"> (Distributor of diagnostic instruments)</w:t>
      </w:r>
    </w:p>
    <w:p>
      <w:pPr>
        <w:ind w:left="360"/>
      </w:pPr>
      <w:r>
        <w:t xml:space="preserve">3. </w:t>
      </w:r>
      <w:r>
        <w:rPr>
          <w:b/>
        </w:rPr>
        <w:t>Banggood</w:t>
      </w:r>
      <w:r>
        <w:t xml:space="preserve"> (Distributor of Electrolyte measurement systems)</w:t>
      </w:r>
    </w:p>
    <w:p>
      <w:pPr>
        <w:ind w:left="360"/>
      </w:pPr>
      <w:r>
        <w:t xml:space="preserve">4. </w:t>
      </w:r>
      <w:r>
        <w:rPr>
          <w:b/>
        </w:rPr>
        <w:t>Bloodgasanalyzer</w:t>
      </w:r>
      <w:r>
        <w:t xml:space="preserve"> (Distributor of HDC-LYTE Electrolyte Analyzers)</w:t>
      </w:r>
    </w:p>
    <w:p>
      <w:pPr>
        <w:ind w:left="360"/>
      </w:pPr>
      <w:r>
        <w:t xml:space="preserve">5. </w:t>
      </w:r>
      <w:r>
        <w:rPr>
          <w:b/>
        </w:rPr>
        <w:t>Diamonddiagnostics</w:t>
      </w:r>
      <w:r>
        <w:t xml:space="preserve"> (Distributor of Beckman DXC500AU Reagents)</w:t>
      </w:r>
    </w:p>
    <w:p>
      <w:pPr>
        <w:ind w:left="360"/>
      </w:pPr>
      <w:r>
        <w:t xml:space="preserve">6. </w:t>
      </w:r>
      <w:r>
        <w:rPr>
          <w:b/>
        </w:rPr>
        <w:t>Fisher Scientific</w:t>
      </w:r>
      <w:r>
        <w:t xml:space="preserve"> (Distributor of clinical diagnostic systems)</w:t>
      </w:r>
    </w:p>
    <w:p>
      <w:pPr>
        <w:ind w:left="360"/>
      </w:pPr>
      <w:r>
        <w:t xml:space="preserve">7. </w:t>
      </w:r>
      <w:r>
        <w:rPr>
          <w:b/>
        </w:rPr>
        <w:t>Sysmex</w:t>
      </w:r>
      <w:r>
        <w:t xml:space="preserve"> (Distributor of electrolyte analyzers)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Jcrl</w:t>
      </w:r>
      <w:r>
        <w:t xml:space="preserve"> (Participant in clinical diagnostic services)</w:t>
      </w:r>
    </w:p>
    <w:p>
      <w:pPr>
        <w:ind w:left="360"/>
      </w:pPr>
      <w:r>
        <w:t xml:space="preserve">2. </w:t>
      </w:r>
      <w:r>
        <w:rPr>
          <w:b/>
        </w:rPr>
        <w:t>Mindray</w:t>
      </w:r>
      <w:r>
        <w:t xml:space="preserve"> (Participant in Patient Monitoring Systems)</w:t>
      </w:r>
    </w:p>
    <w:p>
      <w:pPr>
        <w:ind w:left="360"/>
      </w:pPr>
      <w:r>
        <w:t xml:space="preserve">3. </w:t>
      </w:r>
      <w:r>
        <w:rPr>
          <w:b/>
        </w:rPr>
        <w:t>PerkinElmer</w:t>
      </w:r>
      <w:r>
        <w:t xml:space="preserve"> (Participant in Clinical Chemistry Analyzers)</w:t>
      </w:r>
    </w:p>
    <w:p>
      <w:pPr>
        <w:ind w:left="360"/>
      </w:pPr>
      <w:r>
        <w:t xml:space="preserve">4. </w:t>
      </w:r>
      <w:r>
        <w:rPr>
          <w:b/>
        </w:rPr>
        <w:t>Quidel</w:t>
      </w:r>
      <w:r>
        <w:t xml:space="preserve"> (Participant in VITROS Automation Solutions)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point-of-care testing solutions)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clinical diagnostic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