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Fluoroquinolones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Fluoroquinolones (4)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4. </w:t>
      </w:r>
      <w:r>
        <w:rPr>
          <w:b/>
        </w:rPr>
        <w:t>Sandoz</w:t>
      </w:r>
      <w:r>
        <w:t xml:space="preserve"> (Distributor of generic pharmaceuticals distributor for fluoroquinolones)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CVS Health</w:t>
      </w:r>
      <w:r>
        <w:t xml:space="preserve"> (Participant in caremark)</w:t>
      </w:r>
    </w:p>
    <w:p>
      <w:pPr>
        <w:ind w:left="360"/>
      </w:pPr>
      <w:r>
        <w:t xml:space="preserve">2. </w:t>
      </w:r>
      <w:r>
        <w:rPr>
          <w:b/>
        </w:rPr>
        <w:t>Fresenius Kabi</w:t>
      </w:r>
      <w:r>
        <w:t xml:space="preserve"> (Participant in resource)</w:t>
      </w:r>
    </w:p>
    <w:p>
      <w:pPr>
        <w:ind w:left="360"/>
      </w:pPr>
      <w:r>
        <w:t xml:space="preserve">3. </w:t>
      </w:r>
      <w:r>
        <w:rPr>
          <w:b/>
        </w:rPr>
        <w:t>Siemens Healthineers</w:t>
      </w:r>
      <w:r>
        <w:t xml:space="preserve"> (Participant in healthcare)</w:t>
      </w:r>
    </w:p>
    <w:p>
      <w:pPr>
        <w:ind w:left="360"/>
      </w:pPr>
      <w:r>
        <w:t xml:space="preserve">4. </w:t>
      </w:r>
      <w:r>
        <w:rPr>
          <w:b/>
        </w:rPr>
        <w:t>Thermo Fisher Scientific</w:t>
      </w:r>
      <w:r>
        <w:t xml:space="preserve"> (Participant in hamburger)</w:t>
      </w:r>
    </w:p>
    <w:p>
      <w:pPr>
        <w:ind w:left="360"/>
      </w:pPr>
      <w:r>
        <w:t xml:space="preserve">5. </w:t>
      </w:r>
      <w:r>
        <w:rPr>
          <w:b/>
        </w:rPr>
        <w:t>Walgreens Boots Alliance</w:t>
      </w:r>
      <w:r>
        <w:t xml:space="preserve"> (Participant in retail pharmacy and wholesaler for fluoroquinolones)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