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Focal Segmental Glomerulosclerosis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Focal Segmental Glomerulosclerosis (6)</w:t>
      </w:r>
    </w:p>
    <w:p>
      <w:pPr>
        <w:ind w:left="360"/>
      </w:pPr>
      <w:r>
        <w:t xml:space="preserve">1. </w:t>
      </w:r>
      <w:r>
        <w:rPr>
          <w:b/>
        </w:rPr>
        <w:t>Abdominalkey</w:t>
      </w:r>
      <w:r>
        <w:t xml:space="preserve"> (Distributor of abdominal)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recognized)</w:t>
      </w:r>
    </w:p>
    <w:p>
      <w:pPr>
        <w:ind w:left="360"/>
      </w:pPr>
      <w:r>
        <w:t xml:space="preserve">2.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3.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4. </w:t>
      </w:r>
      <w:r>
        <w:rPr>
          <w:b/>
        </w:rPr>
        <w:t>Swkidney</w:t>
      </w:r>
      <w:r>
        <w:t xml:space="preserve"> (Participant in southwest)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