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Follicular Lymphoma Treatment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Follicular Lymphoma Treatment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Alliance Healthcare</w:t>
      </w:r>
      <w:r>
        <w:t xml:space="preserve"> (Participant in pharmaceutical wholesaler for Follicular Lymphoma Treatment)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OptumRx</w:t>
      </w:r>
      <w:r>
        <w:t xml:space="preserve"> (Participant in notice)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reseller of healthcare products for Follicular Lymphoma Treatment)</w:t>
      </w:r>
    </w:p>
    <w:p>
      <w:pPr>
        <w:ind w:left="360"/>
      </w:pPr>
      <w:r>
        <w:t xml:space="preserve">7. </w:t>
      </w:r>
      <w:r>
        <w:rPr>
          <w:b/>
        </w:rPr>
        <w:t>Zyter</w:t>
      </w:r>
      <w:r>
        <w:t xml:space="preserve"> (Participant in system integrator for healthcare for Follicular Lymphoma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