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Antimicrobial Additives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Food Antimicrobial Additives (4)</w:t>
      </w:r>
    </w:p>
    <w:p>
      <w:pPr>
        <w:ind w:left="360"/>
      </w:pPr>
      <w:r>
        <w:t xml:space="preserve">1. </w:t>
      </w:r>
      <w:r>
        <w:rPr>
          <w:b/>
        </w:rPr>
        <w:t>Azelis Group</w:t>
      </w:r>
      <w:r>
        <w:t xml:space="preserve"> (Distributor of relations)</w:t>
      </w:r>
    </w:p>
    <w:p>
      <w:pPr>
        <w:ind w:left="360"/>
      </w:pPr>
      <w:r>
        <w:t xml:space="preserve">2. </w:t>
      </w:r>
      <w:r>
        <w:rPr>
          <w:b/>
        </w:rPr>
        <w:t>Bakels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Barentz International</w:t>
      </w:r>
      <w:r>
        <w:t xml:space="preserve"> (Distributor of pharmaceuticals)</w:t>
      </w:r>
    </w:p>
    <w:p>
      <w:pPr>
        <w:ind w:left="360"/>
      </w:pPr>
      <w:r>
        <w:t xml:space="preserve">4.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Ingredion Incorporated</w:t>
      </w:r>
      <w:r>
        <w:t xml:space="preserve"> (Participant in transforms)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