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 And Cell Therapies Targeting Cns Disorders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Gene And Cell Therapies Targeting CNS Disorders (4)</w:t>
      </w:r>
    </w:p>
    <w:p>
      <w:pPr>
        <w:ind w:left="360"/>
      </w:pPr>
      <w:r>
        <w:t xml:space="preserve">1.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2. </w:t>
      </w:r>
      <w:r>
        <w:rPr>
          <w:b/>
        </w:rPr>
        <w:t>Chartermedical</w:t>
      </w:r>
      <w:r>
        <w:t xml:space="preserve"> (Distributor of charter)</w:t>
      </w:r>
    </w:p>
    <w:p>
      <w:pPr>
        <w:ind w:left="360"/>
      </w:pPr>
      <w:r>
        <w:t xml:space="preserve">3. </w:t>
      </w:r>
      <w:r>
        <w:rPr>
          <w:b/>
        </w:rPr>
        <w:t>Gene</w:t>
      </w:r>
      <w:r>
        <w:t xml:space="preserve"> (Distributor of attention)</w:t>
      </w:r>
    </w:p>
    <w:p>
      <w:pPr>
        <w:ind w:left="360"/>
      </w:pPr>
      <w:r>
        <w:t xml:space="preserve">4. </w:t>
      </w:r>
      <w:r>
        <w:rPr>
          <w:b/>
        </w:rPr>
        <w:t>Sartorius</w:t>
      </w:r>
      <w:r>
        <w:t xml:space="preserve"> (Distributor of product)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WuXi AppTec</w:t>
      </w:r>
      <w:r>
        <w:t xml:space="preserve"> (Participant in united)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