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General Medicine Education Publishing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General Medicine Education Publishing (1)</w:t>
      </w:r>
    </w:p>
    <w:p>
      <w:pPr>
        <w:ind w:left="360"/>
      </w:pPr>
      <w:r>
        <w:t xml:space="preserve">1. </w:t>
      </w:r>
      <w:r>
        <w:rPr>
          <w:b/>
        </w:rPr>
        <w:t>Doctordle</w:t>
      </w:r>
      <w:r>
        <w:t xml:space="preserve"> (Distributor of brought)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Book Depository</w:t>
      </w:r>
      <w:r>
        <w:t xml:space="preserve"> (Participant in account)</w:t>
      </w:r>
    </w:p>
    <w:p>
      <w:pPr>
        <w:ind w:left="360"/>
      </w:pPr>
      <w:r>
        <w:t xml:space="preserve">2. </w:t>
      </w:r>
      <w:r>
        <w:rPr>
          <w:b/>
        </w:rPr>
        <w:t>Chegg</w:t>
      </w:r>
      <w:r>
        <w:t xml:space="preserve"> (Participant in understand)</w:t>
      </w:r>
    </w:p>
    <w:p>
      <w:pPr>
        <w:ind w:left="360"/>
      </w:pPr>
      <w:r>
        <w:t xml:space="preserve">3. </w:t>
      </w:r>
      <w:r>
        <w:rPr>
          <w:b/>
        </w:rPr>
        <w:t>EBSCO Information Services</w:t>
      </w:r>
      <w:r>
        <w:t xml:space="preserve"> (Participant in footer)</w:t>
      </w:r>
    </w:p>
    <w:p>
      <w:pPr>
        <w:ind w:left="360"/>
      </w:pPr>
      <w:r>
        <w:t xml:space="preserve">4. </w:t>
      </w:r>
      <w:r>
        <w:rPr>
          <w:b/>
        </w:rPr>
        <w:t>ProQuest</w:t>
      </w:r>
      <w:r>
        <w:t xml:space="preserve"> (Participant in selectionmy)</w:t>
      </w:r>
    </w:p>
    <w:p>
      <w:pPr>
        <w:ind w:left="360"/>
      </w:pPr>
      <w:r>
        <w:t xml:space="preserve">5. </w:t>
      </w:r>
      <w:r>
        <w:rPr>
          <w:b/>
        </w:rPr>
        <w:t>Thomson Reuters</w:t>
      </w:r>
      <w:r>
        <w:t xml:space="preserve"> (Participant in solutions)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