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Global Consumer Genomics Market</w:t>
      </w:r>
    </w:p>
    <w:p>
      <w:r>
        <w:rPr>
          <w:i/>
        </w:rPr>
        <w:t>Geography: global     Companies: 10</w:t>
      </w:r>
    </w:p>
    <w:p>
      <w:pPr>
        <w:pStyle w:val="Heading1"/>
      </w:pPr>
      <w:r>
        <w:t>Distributors of Consumer Genomics (2)</w:t>
      </w:r>
    </w:p>
    <w:p>
      <w:pPr>
        <w:ind w:left="360"/>
      </w:pPr>
      <w:r>
        <w:t xml:space="preserve">1. </w:t>
      </w:r>
      <w:r>
        <w:rPr>
          <w:b/>
        </w:rPr>
        <w:t>Illumina</w:t>
      </w:r>
      <w:r>
        <w:t xml:space="preserve"> (Distributor of genomic products distributor for Consumer Genomics)</w:t>
      </w:r>
    </w:p>
    <w:p>
      <w:pPr>
        <w:ind w:left="360"/>
      </w:pPr>
      <w:r>
        <w:t xml:space="preserve">2. </w:t>
      </w:r>
      <w:r>
        <w:rPr>
          <w:b/>
        </w:rPr>
        <w:t>Nebula</w:t>
      </w:r>
      <w:r>
        <w:t xml:space="preserve"> (Distributor of genomics)</w:t>
      </w:r>
    </w:p>
    <w:p>
      <w:pPr>
        <w:pStyle w:val="Heading1"/>
      </w:pPr>
      <w:r>
        <w:t>Other (8)</w:t>
      </w:r>
    </w:p>
    <w:p>
      <w:pPr>
        <w:ind w:left="360"/>
      </w:pPr>
      <w:r>
        <w:t xml:space="preserve">1. </w:t>
      </w:r>
      <w:r>
        <w:rPr>
          <w:b/>
        </w:rPr>
        <w:t>AncestryDNA</w:t>
      </w:r>
      <w:r>
        <w:t xml:space="preserve"> (Participant in genealogy)</w:t>
      </w:r>
    </w:p>
    <w:p>
      <w:pPr>
        <w:ind w:left="360"/>
      </w:pPr>
      <w:r>
        <w:t xml:space="preserve">2. </w:t>
      </w:r>
      <w:r>
        <w:rPr>
          <w:b/>
        </w:rPr>
        <w:t>Color Genomics</w:t>
      </w:r>
      <w:r>
        <w:t xml:space="preserve"> (Participant in employers)</w:t>
      </w:r>
    </w:p>
    <w:p>
      <w:pPr>
        <w:ind w:left="360"/>
      </w:pPr>
      <w:r>
        <w:t xml:space="preserve">3. </w:t>
      </w:r>
      <w:r>
        <w:rPr>
          <w:b/>
        </w:rPr>
        <w:t>Fulgent Genetics</w:t>
      </w:r>
      <w:r>
        <w:t xml:space="preserve"> (Participant in announcement)</w:t>
      </w:r>
    </w:p>
    <w:p>
      <w:pPr>
        <w:ind w:left="360"/>
      </w:pPr>
      <w:r>
        <w:t xml:space="preserve">4. </w:t>
      </w:r>
      <w:r>
        <w:rPr>
          <w:b/>
        </w:rPr>
        <w:t>Gene by Gene</w:t>
      </w:r>
      <w:r>
        <w:t xml:space="preserve"> (Participant in chevron)</w:t>
      </w:r>
    </w:p>
    <w:p>
      <w:pPr>
        <w:ind w:left="360"/>
      </w:pPr>
      <w:r>
        <w:t xml:space="preserve">5. </w:t>
      </w:r>
      <w:r>
        <w:rPr>
          <w:b/>
        </w:rPr>
        <w:t>Genetic Technologies</w:t>
      </w:r>
      <w:r>
        <w:t xml:space="preserve"> (Participant in accreditations)</w:t>
      </w:r>
    </w:p>
    <w:p>
      <w:pPr>
        <w:ind w:left="360"/>
      </w:pPr>
      <w:r>
        <w:t xml:space="preserve">6. </w:t>
      </w:r>
      <w:r>
        <w:rPr>
          <w:b/>
        </w:rPr>
        <w:t>LabCorp</w:t>
      </w:r>
      <w:r>
        <w:t xml:space="preserve"> (Participant in individuals)</w:t>
      </w:r>
    </w:p>
    <w:p>
      <w:pPr>
        <w:ind w:left="360"/>
      </w:pPr>
      <w:r>
        <w:t xml:space="preserve">7. </w:t>
      </w:r>
      <w:r>
        <w:rPr>
          <w:b/>
        </w:rPr>
        <w:t>MyHeritage</w:t>
      </w:r>
      <w:r>
        <w:t xml:space="preserve"> (Participant in install)</w:t>
      </w:r>
    </w:p>
    <w:p>
      <w:pPr>
        <w:ind w:left="360"/>
      </w:pPr>
      <w:r>
        <w:t xml:space="preserve">8. </w:t>
      </w:r>
      <w:r>
        <w:rPr>
          <w:b/>
        </w:rPr>
        <w:t>Quest Diagnostics</w:t>
      </w:r>
      <w:r>
        <w:t xml:space="preserve"> (Participant in patients)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