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Interventional Pulmonology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Interventional Pulmonology (6)</w:t>
      </w:r>
    </w:p>
    <w:p>
      <w:pPr>
        <w:ind w:left="360"/>
      </w:pPr>
      <w:r>
        <w:t xml:space="preserve">1. </w:t>
      </w:r>
      <w:r>
        <w:rPr>
          <w:b/>
        </w:rPr>
        <w:t>Aippd</w:t>
      </w:r>
      <w:r>
        <w:t xml:space="preserve"> (Distributor of certification programs)</w:t>
      </w:r>
    </w:p>
    <w:p>
      <w:pPr>
        <w:ind w:left="360"/>
      </w:pPr>
      <w:r>
        <w:t xml:space="preserve">2. </w:t>
      </w:r>
      <w:r>
        <w:rPr>
          <w:b/>
        </w:rPr>
        <w:t>B. Braun Melsungen AG</w:t>
      </w:r>
      <w:r>
        <w:t xml:space="preserve"> (Distributor of pulmonary care solutions)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pulmonary care solutions)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interventional pulmonology devices)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pulmonary care solutions)</w:t>
      </w:r>
    </w:p>
    <w:p>
      <w:pPr>
        <w:ind w:left="360"/>
      </w:pPr>
      <w:r>
        <w:t xml:space="preserve">6. </w:t>
      </w:r>
      <w:r>
        <w:rPr>
          <w:b/>
        </w:rPr>
        <w:t>Owens &amp; Minor</w:t>
      </w:r>
      <w:r>
        <w:t xml:space="preserve"> (Distributor of QSight Tissue Management)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Blkmaxhospital</w:t>
      </w:r>
      <w:r>
        <w:t xml:space="preserve"> (Participant in thoracic surgery services)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Androidwintool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