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Laboratory Glassware Washers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Laboratory Glassware Washers (4)</w:t>
      </w:r>
    </w:p>
    <w:p>
      <w:pPr>
        <w:ind w:left="360"/>
      </w:pPr>
      <w:r>
        <w:t xml:space="preserve">1. </w:t>
      </w:r>
      <w:r>
        <w:rPr>
          <w:b/>
        </w:rPr>
        <w:t>Agilent Technologies</w:t>
      </w:r>
      <w:r>
        <w:t xml:space="preserve"> (Distributor of spectroscopic instruments)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3. </w:t>
      </w:r>
      <w:r>
        <w:rPr>
          <w:b/>
        </w:rPr>
        <w:t>Labsuppliesconnect</w:t>
      </w:r>
      <w:r>
        <w:t xml:space="preserve"> (Distributor of labsupplies)</w:t>
      </w:r>
    </w:p>
    <w:p>
      <w:pPr>
        <w:ind w:left="360"/>
      </w:pPr>
      <w:r>
        <w:t xml:space="preserve">4. </w:t>
      </w:r>
      <w:r>
        <w:rPr>
          <w:b/>
        </w:rPr>
        <w:t>Miele</w:t>
      </w:r>
      <w:r>
        <w:t xml:space="preserve"> (Distributor of laboratory glassware washers, automated cleaning systems)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PerkinElmer,</w:t>
      </w:r>
      <w:r>
        <w:t xml:space="preserve"> (Participant in request)</w:t>
      </w:r>
    </w:p>
    <w:p>
      <w:pPr>
        <w:ind w:left="360"/>
      </w:pPr>
      <w:r>
        <w:t xml:space="preserve">2. </w:t>
      </w:r>
      <w:r>
        <w:rPr>
          <w:b/>
        </w:rPr>
        <w:t>VWR International</w:t>
      </w:r>
      <w:r>
        <w:t xml:space="preserve"> (Participant in And distributor of laboratory supplies)</w:t>
      </w:r>
    </w:p>
    <w:p>
      <w:pPr>
        <w:ind w:left="360"/>
      </w:pPr>
      <w:r>
        <w:t xml:space="preserve">3. </w:t>
      </w:r>
      <w:r>
        <w:rPr>
          <w:b/>
        </w:rPr>
        <w:t>Waters</w:t>
      </w:r>
      <w:r>
        <w:t xml:space="preserve"> (Participant in comprehensive)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