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Methoxyl Pectin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Low Methoxyl Pectin (4)</w:t>
      </w:r>
    </w:p>
    <w:p>
      <w:pPr>
        <w:ind w:left="360"/>
      </w:pPr>
      <w:r>
        <w:t xml:space="preserve">1. </w:t>
      </w:r>
      <w:r>
        <w:rPr>
          <w:b/>
        </w:rPr>
        <w:t>Cargill</w:t>
      </w:r>
      <w:r>
        <w:t xml:space="preserve"> (Distributor of approach)</w:t>
      </w:r>
    </w:p>
    <w:p>
      <w:pPr>
        <w:ind w:left="360"/>
      </w:pPr>
      <w:r>
        <w:t xml:space="preserve">2. </w:t>
      </w:r>
      <w:r>
        <w:rPr>
          <w:b/>
        </w:rPr>
        <w:t>Kerry Group</w:t>
      </w:r>
      <w:r>
        <w:t xml:space="preserve"> (Distributor of Food ingredients including pectin)</w:t>
      </w:r>
    </w:p>
    <w:p>
      <w:pPr>
        <w:ind w:left="360"/>
      </w:pPr>
      <w:r>
        <w:t xml:space="preserve">3. </w:t>
      </w:r>
      <w:r>
        <w:rPr>
          <w:b/>
        </w:rPr>
        <w:t>Naturex</w:t>
      </w:r>
      <w:r>
        <w:t xml:space="preserve"> (Distributor of Natural ingredients including pectin)</w:t>
      </w:r>
    </w:p>
    <w:p>
      <w:pPr>
        <w:ind w:left="360"/>
      </w:pPr>
      <w:r>
        <w:t xml:space="preserve">4. </w:t>
      </w:r>
      <w:r>
        <w:rPr>
          <w:b/>
        </w:rPr>
        <w:t>Univar Solutions</w:t>
      </w:r>
      <w:r>
        <w:t xml:space="preserve"> (Distributor of correctly)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Kraft Heinz</w:t>
      </w:r>
      <w:r>
        <w:t xml:space="preserve"> (Participant in creating)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