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Malignant Ascites Treatment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Distributors of Malignant Ascites Treatment (10)</w:t>
      </w:r>
    </w:p>
    <w:p>
      <w:pPr>
        <w:ind w:left="360"/>
      </w:pPr>
      <w:r>
        <w:t xml:space="preserve">1. </w:t>
      </w:r>
      <w:r>
        <w:rPr>
          <w:b/>
        </w:rPr>
        <w:t>Alfapump</w:t>
      </w:r>
      <w:r>
        <w:t xml:space="preserve"> (Distributor of disclaimer)</w:t>
      </w:r>
    </w:p>
    <w:p>
      <w:pPr>
        <w:ind w:left="360"/>
      </w:pPr>
      <w:r>
        <w:t xml:space="preserve">2.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3. </w:t>
      </w:r>
      <w:r>
        <w:rPr>
          <w:b/>
        </w:rPr>
        <w:t>Baxter International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5.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6. </w:t>
      </w:r>
      <w:r>
        <w:rPr>
          <w:b/>
        </w:rPr>
        <w:t>Hexahealth</w:t>
      </w:r>
      <w:r>
        <w:t xml:space="preserve"> (Distributor of departments)</w:t>
      </w:r>
    </w:p>
    <w:p>
      <w:pPr>
        <w:ind w:left="360"/>
      </w:pPr>
      <w:r>
        <w:t xml:space="preserve">7.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8. </w:t>
      </w:r>
      <w:r>
        <w:rPr>
          <w:b/>
        </w:rPr>
        <w:t>Oncolink</w:t>
      </w:r>
      <w:r>
        <w:t xml:space="preserve"> (Distributor of toggle)</w:t>
      </w:r>
    </w:p>
    <w:p>
      <w:pPr>
        <w:ind w:left="360"/>
      </w:pPr>
      <w:r>
        <w:t xml:space="preserve">9. </w:t>
      </w:r>
      <w:r>
        <w:rPr>
          <w:b/>
        </w:rPr>
        <w:t>Rocketmedicalipc</w:t>
      </w:r>
      <w:r>
        <w:t xml:space="preserve"> (Distributor of portfolio)</w:t>
      </w:r>
    </w:p>
    <w:p>
      <w:pPr>
        <w:ind w:left="360"/>
      </w:pPr>
      <w:r>
        <w:t xml:space="preserve">10.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Allscripts Healthcare Solutions</w:t>
      </w:r>
      <w:r>
        <w:t xml:space="preserve"> (Participant in recognized)</w:t>
      </w:r>
    </w:p>
    <w:p>
      <w:pPr>
        <w:ind w:left="360"/>
      </w:pPr>
      <w:r>
        <w:t xml:space="preserve">2. </w:t>
      </w:r>
      <w:r>
        <w:rPr>
          <w:b/>
        </w:rPr>
        <w:t>Celerion</w:t>
      </w:r>
      <w:r>
        <w:t xml:space="preserve"> (Participant in nitrosamine)</w:t>
      </w:r>
    </w:p>
    <w:p>
      <w:pPr>
        <w:ind w:left="360"/>
      </w:pPr>
      <w:r>
        <w:t xml:space="preserve">3. </w:t>
      </w:r>
      <w:r>
        <w:rPr>
          <w:b/>
        </w:rPr>
        <w:t>Cerner</w:t>
      </w:r>
      <w:r>
        <w:t xml:space="preserve"> (Participant in health information technology solutions for Malignant Ascites Treatment)</w:t>
      </w:r>
    </w:p>
    <w:p>
      <w:pPr>
        <w:ind w:left="360"/>
      </w:pPr>
      <w:r>
        <w:t xml:space="preserve">4. </w:t>
      </w:r>
      <w:r>
        <w:rPr>
          <w:b/>
        </w:rPr>
        <w:t>IQVIA</w:t>
      </w:r>
      <w:r>
        <w:t xml:space="preserve"> (Participant in explore)</w:t>
      </w:r>
    </w:p>
    <w:p>
      <w:pPr>
        <w:ind w:left="360"/>
      </w:pPr>
      <w:r>
        <w:t xml:space="preserve">5. </w:t>
      </w:r>
      <w:r>
        <w:rPr>
          <w:b/>
        </w:rPr>
        <w:t>Medtronic</w:t>
      </w:r>
      <w:r>
        <w:t xml:space="preserve"> (Participant in subcontinent)</w:t>
      </w:r>
    </w:p>
    <w:p>
      <w:pPr>
        <w:ind w:left="360"/>
      </w:pPr>
      <w:r>
        <w:t xml:space="preserve">6. </w:t>
      </w:r>
      <w:r>
        <w:rPr>
          <w:b/>
        </w:rPr>
        <w:t>Stryker</w:t>
      </w:r>
      <w:r>
        <w:t xml:space="preserve"> (Participant in international)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