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Mannequin-Based Simulation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Mannequin-based Simulation (4)</w:t>
      </w:r>
    </w:p>
    <w:p>
      <w:pPr>
        <w:ind w:left="360"/>
      </w:pPr>
      <w:r>
        <w:t xml:space="preserve">1. </w:t>
      </w:r>
      <w:r>
        <w:rPr>
          <w:b/>
        </w:rPr>
        <w:t>Graham-Field Health Products</w:t>
      </w:r>
      <w:r>
        <w:t xml:space="preserve"> (Distributor of Healthcare simulation products)</w:t>
      </w:r>
    </w:p>
    <w:p>
      <w:pPr>
        <w:ind w:left="360"/>
      </w:pPr>
      <w:r>
        <w:t xml:space="preserve">2. </w:t>
      </w:r>
      <w:r>
        <w:rPr>
          <w:b/>
        </w:rPr>
        <w:t>Nasco Healthcare</w:t>
      </w:r>
      <w:r>
        <w:t xml:space="preserve"> (Distributor of solutions)</w:t>
      </w:r>
    </w:p>
    <w:p>
      <w:pPr>
        <w:ind w:left="360"/>
      </w:pPr>
      <w:r>
        <w:t xml:space="preserve">3. </w:t>
      </w:r>
      <w:r>
        <w:rPr>
          <w:b/>
        </w:rPr>
        <w:t>Simul8</w:t>
      </w:r>
      <w:r>
        <w:t xml:space="preserve"> (Distributor of software)</w:t>
      </w:r>
    </w:p>
    <w:p>
      <w:pPr>
        <w:ind w:left="360"/>
      </w:pPr>
      <w:r>
        <w:t xml:space="preserve">4. </w:t>
      </w:r>
      <w:r>
        <w:rPr>
          <w:b/>
        </w:rPr>
        <w:t>Simulaids</w:t>
      </w:r>
      <w:r>
        <w:t xml:space="preserve"> (Distributor of healthcare)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CAE Healthcare</w:t>
      </w:r>
      <w:r>
        <w:t xml:space="preserve"> (Participant in Simulation training solutions)</w:t>
      </w:r>
    </w:p>
    <w:p>
      <w:pPr>
        <w:ind w:left="360"/>
      </w:pPr>
      <w:r>
        <w:t xml:space="preserve">2. </w:t>
      </w:r>
      <w:r>
        <w:rPr>
          <w:b/>
        </w:rPr>
        <w:t>VATA</w:t>
      </w:r>
      <w:r>
        <w:t xml:space="preserve"> (Participant in vatacomlogo)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