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Air Sterilizer Market</w:t>
      </w:r>
    </w:p>
    <w:p>
      <w:r>
        <w:rPr>
          <w:i/>
        </w:rPr>
        <w:t>Geography: global     Companies: 4</w:t>
      </w:r>
    </w:p>
    <w:p>
      <w:pPr>
        <w:pStyle w:val="Heading1"/>
      </w:pPr>
      <w:r>
        <w:t>Distributors of Medical Air Sterilizer (1)</w:t>
      </w:r>
    </w:p>
    <w:p>
      <w:pPr>
        <w:ind w:left="360"/>
      </w:pPr>
      <w:r>
        <w:t xml:space="preserve">1. </w:t>
      </w:r>
      <w:r>
        <w:rPr>
          <w:b/>
        </w:rPr>
        <w:t>Teknomar</w:t>
      </w:r>
      <w:r>
        <w:t xml:space="preserve"> (Distributor of languages)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Ecolab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Parker Hannifin</w:t>
      </w:r>
      <w:r>
        <w:t xml:space="preserve"> (Participant in protected)</w:t>
      </w:r>
    </w:p>
    <w:p>
      <w:pPr>
        <w:ind w:left="360"/>
      </w:pPr>
      <w:r>
        <w:t xml:space="preserve">3.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