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Manifolds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Medical Manifolds (6)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5. </w:t>
      </w:r>
      <w:r>
        <w:rPr>
          <w:b/>
        </w:rPr>
        <w:t>Sounddevices</w:t>
      </w:r>
      <w:r>
        <w:t xml:space="preserve"> (Distributor of anniversary)</w:t>
      </w:r>
    </w:p>
    <w:p>
      <w:pPr>
        <w:ind w:left="360"/>
      </w:pPr>
      <w:r>
        <w:t xml:space="preserve">6. </w:t>
      </w:r>
      <w:r>
        <w:rPr>
          <w:b/>
        </w:rPr>
        <w:t>Weipu Group</w:t>
      </w:r>
      <w:r>
        <w:t xml:space="preserve"> (Distributor of solutions)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Johnson &amp; Johnson</w:t>
      </w:r>
      <w:r>
        <w:t xml:space="preserve"> (Participant in medicines)</w:t>
      </w:r>
    </w:p>
    <w:p>
      <w:pPr>
        <w:ind w:left="360"/>
      </w:pPr>
      <w:r>
        <w:t xml:space="preserve">2.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3.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