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Memantine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Memantine (5)</w:t>
      </w:r>
    </w:p>
    <w:p>
      <w:pPr>
        <w:ind w:left="360"/>
      </w:pPr>
      <w:r>
        <w:t xml:space="preserve">1. </w:t>
      </w:r>
      <w:r>
        <w:rPr>
          <w:b/>
        </w:rPr>
        <w:t>AllianceRx Walgreens Prime</w:t>
      </w:r>
      <w:r>
        <w:t xml:space="preserve"> (Distributor of pharmacy and specialty distribution for Memantine)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OptumRx</w:t>
      </w:r>
      <w:r>
        <w:t xml:space="preserve"> (Participant in notice)</w:t>
      </w:r>
    </w:p>
    <w:p>
      <w:pPr>
        <w:ind w:left="360"/>
      </w:pPr>
      <w:r>
        <w:t xml:space="preserve">2. </w:t>
      </w:r>
      <w:r>
        <w:rPr>
          <w:b/>
        </w:rPr>
        <w:t>Walgreens Boots Alliance</w:t>
      </w:r>
      <w:r>
        <w:t xml:space="preserve"> (Participant in pharmacy and healthcare services for Memantine)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