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Metastatic Osteosarcoma Treatment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Metastatic Osteosarcoma Treatment (5)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Onclive</w:t>
      </w:r>
      <w:r>
        <w:t xml:space="preserve"> (Distributor of oncology)</w:t>
      </w:r>
    </w:p>
    <w:p>
      <w:pPr>
        <w:ind w:left="360"/>
      </w:pPr>
      <w:r>
        <w:t xml:space="preserve">5. </w:t>
      </w:r>
      <w:r>
        <w:rPr>
          <w:b/>
        </w:rPr>
        <w:t>Oncolink</w:t>
      </w:r>
      <w:r>
        <w:t xml:space="preserve"> (Distributor of toggle)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Cerner</w:t>
      </w:r>
      <w:r>
        <w:t xml:space="preserve"> (Participant in healthcare it system integrator for metastatic osteosarcoma treatment)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Epic Systems</w:t>
      </w:r>
      <w:r>
        <w:t xml:space="preserve"> (Participant in patient)</w:t>
      </w:r>
    </w:p>
    <w:p>
      <w:pPr>
        <w:ind w:left="360"/>
      </w:pPr>
      <w:r>
        <w:t xml:space="preserve">4. </w:t>
      </w:r>
      <w:r>
        <w:rPr>
          <w:b/>
        </w:rPr>
        <w:t>HCA Healthcare</w:t>
      </w:r>
      <w:r>
        <w:t xml:space="preserve"> (Participant in specialties)</w:t>
      </w:r>
    </w:p>
    <w:p>
      <w:pPr>
        <w:ind w:left="360"/>
      </w:pPr>
      <w:r>
        <w:t xml:space="preserve">5.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6. </w:t>
      </w:r>
      <w:r>
        <w:rPr>
          <w:b/>
        </w:rPr>
        <w:t>Tenet Healthcare</w:t>
      </w:r>
      <w:r>
        <w:t xml:space="preserve"> (Participant in accessibility)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(Participant in retail pharmacy and reseller for metastatic osteosarcoma treatment)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