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Metrology Services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Metrology Services (3)</w:t>
      </w:r>
    </w:p>
    <w:p>
      <w:pPr>
        <w:ind w:left="360"/>
      </w:pPr>
      <w:r>
        <w:t xml:space="preserve">1. </w:t>
      </w:r>
      <w:r>
        <w:rPr>
          <w:b/>
        </w:rPr>
        <w:t>Carl Zeiss AG</w:t>
      </w:r>
      <w:r>
        <w:t xml:space="preserve"> (Distributor of another)</w:t>
      </w:r>
    </w:p>
    <w:p>
      <w:pPr>
        <w:ind w:left="360"/>
      </w:pPr>
      <w:r>
        <w:t xml:space="preserve">2. </w:t>
      </w:r>
      <w:r>
        <w:rPr>
          <w:b/>
        </w:rPr>
        <w:t>Krcmachinetoolsolutions</w:t>
      </w:r>
      <w:r>
        <w:t xml:space="preserve"> (Distributor of request)</w:t>
      </w:r>
    </w:p>
    <w:p>
      <w:pPr>
        <w:ind w:left="360"/>
      </w:pPr>
      <w:r>
        <w:t xml:space="preserve">3. </w:t>
      </w:r>
      <w:r>
        <w:rPr>
          <w:b/>
        </w:rPr>
        <w:t>Metrology Services</w:t>
      </w:r>
      <w:r>
        <w:t xml:space="preserve"> (Distributor of facilities)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Baker Hughes</w:t>
      </w:r>
      <w:r>
        <w:t xml:space="preserve"> (Participant in investors)</w:t>
      </w:r>
    </w:p>
    <w:p>
      <w:pPr>
        <w:ind w:left="360"/>
      </w:pPr>
      <w:r>
        <w:t xml:space="preserve">2. </w:t>
      </w:r>
      <w:r>
        <w:rPr>
          <w:b/>
        </w:rPr>
        <w:t>Hexagon AB</w:t>
      </w:r>
      <w:r>
        <w:t xml:space="preserve"> (Participant in metrology and calibration services)</w:t>
      </w:r>
    </w:p>
    <w:p>
      <w:pPr>
        <w:ind w:left="360"/>
      </w:pPr>
      <w:r>
        <w:t xml:space="preserve">3. </w:t>
      </w:r>
      <w:r>
        <w:rPr>
          <w:b/>
        </w:rPr>
        <w:t>Kistler Instrumente AG</w:t>
      </w:r>
      <w:r>
        <w:t xml:space="preserve"> (Participant in header)</w:t>
      </w:r>
    </w:p>
    <w:p>
      <w:pPr>
        <w:ind w:left="360"/>
      </w:pPr>
      <w:r>
        <w:t xml:space="preserve">4. </w:t>
      </w:r>
      <w:r>
        <w:rPr>
          <w:b/>
        </w:rPr>
        <w:t>KUKA AG</w:t>
      </w:r>
      <w:r>
        <w:t xml:space="preserve"> (Participant in autonomous)</w:t>
      </w:r>
    </w:p>
    <w:p>
      <w:pPr>
        <w:ind w:left="360"/>
      </w:pPr>
      <w:r>
        <w:t xml:space="preserve">5. </w:t>
      </w:r>
      <w:r>
        <w:rPr>
          <w:b/>
        </w:rPr>
        <w:t>Renishaw plc</w:t>
      </w:r>
      <w:r>
        <w:t xml:space="preserve"> (Participant in measurement)</w:t>
      </w:r>
    </w:p>
    <w:p>
      <w:pPr>
        <w:ind w:left="360"/>
      </w:pPr>
      <w:r>
        <w:t xml:space="preserve">6. </w:t>
      </w:r>
      <w:r>
        <w:rPr>
          <w:b/>
        </w:rPr>
        <w:t>Siemens AG</w:t>
      </w:r>
      <w:r>
        <w:t xml:space="preserve"> (Participant in engineer)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