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Middle East And Asia Injectable Drugs Market</w:t>
      </w:r>
    </w:p>
    <w:p>
      <w:r>
        <w:rPr>
          <w:i/>
        </w:rPr>
        <w:t>Geography: global     Companies: 8</w:t>
      </w:r>
    </w:p>
    <w:p>
      <w:pPr>
        <w:pStyle w:val="Heading1"/>
      </w:pPr>
      <w:r>
        <w:t>Distributors of Injectable Drugs (6)</w:t>
      </w:r>
    </w:p>
    <w:p>
      <w:pPr>
        <w:ind w:left="360"/>
      </w:pPr>
      <w:r>
        <w:t xml:space="preserve">1. </w:t>
      </w:r>
      <w:r>
        <w:rPr>
          <w:b/>
        </w:rPr>
        <w:t>AmerisourceBergen</w:t>
      </w:r>
      <w:r>
        <w:t xml:space="preserve"> (Distributor of manufacturer)</w:t>
      </w:r>
    </w:p>
    <w:p>
      <w:pPr>
        <w:ind w:left="360"/>
      </w:pPr>
      <w:r>
        <w:t xml:space="preserve">2. </w:t>
      </w:r>
      <w:r>
        <w:rPr>
          <w:b/>
        </w:rPr>
        <w:t>Cardinal Health</w:t>
      </w:r>
      <w:r>
        <w:t xml:space="preserve"> (Distributor of investors)</w:t>
      </w:r>
    </w:p>
    <w:p>
      <w:pPr>
        <w:ind w:left="360"/>
      </w:pPr>
      <w:r>
        <w:t xml:space="preserve">3. </w:t>
      </w:r>
      <w:r>
        <w:rPr>
          <w:b/>
        </w:rPr>
        <w:t>H.D. Smith</w:t>
      </w:r>
      <w:r>
        <w:t xml:space="preserve"> (Distributor of pharmaceutical distributor for Injectable)</w:t>
      </w:r>
    </w:p>
    <w:p>
      <w:pPr>
        <w:ind w:left="360"/>
      </w:pPr>
      <w:r>
        <w:t xml:space="preserve">4. </w:t>
      </w:r>
      <w:r>
        <w:rPr>
          <w:b/>
        </w:rPr>
        <w:t>McKesson</w:t>
      </w:r>
      <w:r>
        <w:t xml:space="preserve"> (Distributor of explore)</w:t>
      </w:r>
    </w:p>
    <w:p>
      <w:pPr>
        <w:ind w:left="360"/>
      </w:pPr>
      <w:r>
        <w:t xml:space="preserve">5. </w:t>
      </w:r>
      <w:r>
        <w:rPr>
          <w:b/>
        </w:rPr>
        <w:t>Owens &amp; Minor</w:t>
      </w:r>
      <w:r>
        <w:t xml:space="preserve"> (Distributor of distribution)</w:t>
      </w:r>
    </w:p>
    <w:p>
      <w:pPr>
        <w:ind w:left="360"/>
      </w:pPr>
      <w:r>
        <w:t xml:space="preserve">6. </w:t>
      </w:r>
      <w:r>
        <w:rPr>
          <w:b/>
        </w:rPr>
        <w:t>Phoenix Group</w:t>
      </w:r>
      <w:r>
        <w:t xml:space="preserve"> (Distributor of management)</w:t>
      </w:r>
    </w:p>
    <w:p>
      <w:pPr>
        <w:pStyle w:val="Heading1"/>
      </w:pPr>
      <w:r>
        <w:t>Other (2)</w:t>
      </w:r>
    </w:p>
    <w:p>
      <w:pPr>
        <w:ind w:left="360"/>
      </w:pPr>
      <w:r>
        <w:t xml:space="preserve">1. </w:t>
      </w:r>
      <w:r>
        <w:rPr>
          <w:b/>
        </w:rPr>
        <w:t>Alliance Healthcare</w:t>
      </w:r>
      <w:r>
        <w:t xml:space="preserve"> (Participant in referrals)</w:t>
      </w:r>
    </w:p>
    <w:p>
      <w:pPr>
        <w:ind w:left="360"/>
      </w:pPr>
      <w:r>
        <w:t xml:space="preserve">2. </w:t>
      </w:r>
      <w:r>
        <w:rPr>
          <w:b/>
        </w:rPr>
        <w:t>Celesio AG</w:t>
      </w:r>
      <w:r>
        <w:t xml:space="preserve"> (Participant in and distributor for Injectable)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