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Next Generation In-vehicle Networking (IVN) Market</w:t>
      </w:r>
    </w:p>
    <w:p>
      <w:r>
        <w:rPr>
          <w:i/>
        </w:rPr>
        <w:t>Geography: global     Companies: 7</w:t>
      </w:r>
    </w:p>
    <w:p>
      <w:pPr>
        <w:pStyle w:val="Heading1"/>
      </w:pPr>
      <w:r>
        <w:t>Distributors of Next Generation In-vehicle Networking (IVN) (3)</w:t>
      </w:r>
    </w:p>
    <w:p>
      <w:pPr>
        <w:ind w:left="360"/>
      </w:pPr>
      <w:r>
        <w:t xml:space="preserve">1. </w:t>
      </w:r>
      <w:r>
        <w:rPr>
          <w:b/>
        </w:rPr>
        <w:t>Digi-Key Electronics</w:t>
      </w:r>
      <w:r>
        <w:t xml:space="preserve"> (Distributor of account)</w:t>
      </w:r>
    </w:p>
    <w:p>
      <w:pPr>
        <w:ind w:left="360"/>
      </w:pPr>
      <w:r>
        <w:t xml:space="preserve">2. </w:t>
      </w:r>
      <w:r>
        <w:rPr>
          <w:b/>
        </w:rPr>
        <w:t>NXP Semiconductors</w:t>
      </w:r>
      <w:r>
        <w:t xml:space="preserve"> (Distributor of experience)</w:t>
      </w:r>
    </w:p>
    <w:p>
      <w:pPr>
        <w:ind w:left="360"/>
      </w:pPr>
      <w:r>
        <w:t xml:space="preserve">3. </w:t>
      </w:r>
      <w:r>
        <w:rPr>
          <w:b/>
        </w:rPr>
        <w:t>TE Connectivity</w:t>
      </w:r>
      <w:r>
        <w:t xml:space="preserve"> (Distributor of givenname)</w:t>
      </w:r>
    </w:p>
    <w:p>
      <w:pPr>
        <w:pStyle w:val="Heading1"/>
      </w:pPr>
      <w:r>
        <w:t>Other (4)</w:t>
      </w:r>
    </w:p>
    <w:p>
      <w:pPr>
        <w:ind w:left="360"/>
      </w:pPr>
      <w:r>
        <w:t xml:space="preserve">1. </w:t>
      </w:r>
      <w:r>
        <w:rPr>
          <w:b/>
        </w:rPr>
        <w:t>Broadcom</w:t>
      </w:r>
      <w:r>
        <w:t xml:space="preserve"> (Participant in doctype)</w:t>
      </w:r>
    </w:p>
    <w:p>
      <w:pPr>
        <w:ind w:left="360"/>
      </w:pPr>
      <w:r>
        <w:t xml:space="preserve">2. </w:t>
      </w:r>
      <w:r>
        <w:rPr>
          <w:b/>
        </w:rPr>
        <w:t>Infineon Technologies</w:t>
      </w:r>
      <w:r>
        <w:t xml:space="preserve"> (Participant in deutsch)</w:t>
      </w:r>
    </w:p>
    <w:p>
      <w:pPr>
        <w:ind w:left="360"/>
      </w:pPr>
      <w:r>
        <w:t xml:space="preserve">3. </w:t>
      </w:r>
      <w:r>
        <w:rPr>
          <w:b/>
        </w:rPr>
        <w:t>Mouser Electronics</w:t>
      </w:r>
      <w:r>
        <w:t xml:space="preserve"> (Participant in access)</w:t>
      </w:r>
    </w:p>
    <w:p>
      <w:pPr>
        <w:ind w:left="360"/>
      </w:pPr>
      <w:r>
        <w:t xml:space="preserve">4. </w:t>
      </w:r>
      <w:r>
        <w:rPr>
          <w:b/>
        </w:rPr>
        <w:t>Vector Informatik</w:t>
      </w:r>
      <w:r>
        <w:t xml:space="preserve"> (Participant in contacts)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