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 America And Europe Acute Bacterial Skin And Skin Structure Infections (ABSSSI) Market</w:t>
      </w:r>
    </w:p>
    <w:p>
      <w:r>
        <w:rPr>
          <w:i/>
        </w:rPr>
        <w:t>Geography: global     Companies: 20</w:t>
      </w:r>
    </w:p>
    <w:p>
      <w:pPr>
        <w:pStyle w:val="Heading1"/>
      </w:pPr>
      <w:r>
        <w:t>Distributors of Acute Bacterial Skin And Skin Structure Infections (ABSSSI) (11)</w:t>
      </w:r>
    </w:p>
    <w:p>
      <w:pPr>
        <w:ind w:left="360"/>
      </w:pPr>
      <w:r>
        <w:t xml:space="preserve">1. </w:t>
      </w:r>
      <w:r>
        <w:rPr>
          <w:b/>
        </w:rPr>
        <w:t>AbbVie</w:t>
      </w:r>
      <w:r>
        <w:t xml:space="preserve"> (Distributor of Skyrizi)</w:t>
      </w:r>
    </w:p>
    <w:p>
      <w:pPr>
        <w:ind w:left="360"/>
      </w:pPr>
      <w:r>
        <w:t xml:space="preserve">2. </w:t>
      </w:r>
      <w:r>
        <w:rPr>
          <w:b/>
        </w:rPr>
        <w:t>Aimmune Therapeutics</w:t>
      </w:r>
      <w:r>
        <w:t xml:space="preserve"> (Distributor of Aimmune's peanut allergy treatment)</w:t>
      </w:r>
    </w:p>
    <w:p>
      <w:pPr>
        <w:ind w:left="360"/>
      </w:pPr>
      <w:r>
        <w:t xml:space="preserve">3. </w:t>
      </w:r>
      <w:r>
        <w:rPr>
          <w:b/>
        </w:rPr>
        <w:t>AmerisourceBergen</w:t>
      </w:r>
      <w:r>
        <w:t xml:space="preserve"> (Participant in pharmaceutical distribution)</w:t>
      </w:r>
    </w:p>
    <w:p>
      <w:pPr>
        <w:ind w:left="360"/>
      </w:pPr>
      <w:r>
        <w:t xml:space="preserve">4. </w:t>
      </w:r>
      <w:r>
        <w:rPr>
          <w:b/>
        </w:rPr>
        <w:t>Baxter International</w:t>
      </w:r>
      <w:r>
        <w:t xml:space="preserve"> (Distributor of wound care products)</w:t>
      </w:r>
    </w:p>
    <w:p>
      <w:pPr>
        <w:ind w:left="360"/>
      </w:pPr>
      <w:r>
        <w:t xml:space="preserve">5. </w:t>
      </w:r>
      <w:r>
        <w:rPr>
          <w:b/>
        </w:rPr>
        <w:t>Cardinal Health</w:t>
      </w:r>
      <w:r>
        <w:t xml:space="preserve"> (Distributor of healthcare services)</w:t>
      </w:r>
    </w:p>
    <w:p>
      <w:pPr>
        <w:ind w:left="360"/>
      </w:pPr>
      <w:r>
        <w:t xml:space="preserve">6. </w:t>
      </w:r>
      <w:r>
        <w:rPr>
          <w:b/>
        </w:rPr>
        <w:t>Celesio AG</w:t>
      </w:r>
      <w:r>
        <w:t xml:space="preserve"> (Participant in distribution services)</w:t>
      </w:r>
    </w:p>
    <w:p>
      <w:pPr>
        <w:ind w:left="360"/>
      </w:pPr>
      <w:r>
        <w:t xml:space="preserve">7. </w:t>
      </w:r>
      <w:r>
        <w:rPr>
          <w:b/>
        </w:rPr>
        <w:t>GSK (GlaxoSmithKline)</w:t>
      </w:r>
      <w:r>
        <w:t xml:space="preserve"> (Distributor of Bactroban)</w:t>
      </w:r>
    </w:p>
    <w:p>
      <w:pPr>
        <w:ind w:left="360"/>
      </w:pPr>
      <w:r>
        <w:t xml:space="preserve">8. </w:t>
      </w:r>
      <w:r>
        <w:rPr>
          <w:b/>
        </w:rPr>
        <w:t>Henry Schein</w:t>
      </w:r>
      <w:r>
        <w:t xml:space="preserve"> (Distributor of pharmaceutical products)</w:t>
      </w:r>
    </w:p>
    <w:p>
      <w:pPr>
        <w:ind w:left="360"/>
      </w:pPr>
      <w:r>
        <w:t xml:space="preserve">9. </w:t>
      </w:r>
      <w:r>
        <w:rPr>
          <w:b/>
        </w:rPr>
        <w:t>McKesson</w:t>
      </w:r>
      <w:r>
        <w:t xml:space="preserve"> (Participant in pharmaceutical distribution services)</w:t>
      </w:r>
    </w:p>
    <w:p>
      <w:pPr>
        <w:ind w:left="360"/>
      </w:pPr>
      <w:r>
        <w:t xml:space="preserve">10. </w:t>
      </w:r>
      <w:r>
        <w:rPr>
          <w:b/>
        </w:rPr>
        <w:t>Medline Industries</w:t>
      </w:r>
      <w:r>
        <w:t xml:space="preserve"> (Distributor of infection prevention solutions)</w:t>
      </w:r>
    </w:p>
    <w:p>
      <w:pPr>
        <w:ind w:left="360"/>
      </w:pPr>
      <w:r>
        <w:t xml:space="preserve">11. </w:t>
      </w:r>
      <w:r>
        <w:rPr>
          <w:b/>
        </w:rPr>
        <w:t>Owens &amp; Minor</w:t>
      </w:r>
      <w:r>
        <w:t xml:space="preserve"> (Distributor of distribution services)</w:t>
      </w:r>
    </w:p>
    <w:p>
      <w:pPr>
        <w:pStyle w:val="Heading1"/>
      </w:pPr>
      <w:r>
        <w:t>Other (9)</w:t>
      </w:r>
    </w:p>
    <w:p>
      <w:pPr>
        <w:ind w:left="360"/>
      </w:pPr>
      <w:r>
        <w:t xml:space="preserve">1. </w:t>
      </w:r>
      <w:r>
        <w:rPr>
          <w:b/>
        </w:rPr>
        <w:t>Amgen</w:t>
      </w:r>
      <w:r>
        <w:t xml:space="preserve"> (Participant in Vectibix)</w:t>
      </w:r>
    </w:p>
    <w:p>
      <w:pPr>
        <w:ind w:left="360"/>
      </w:pPr>
      <w:r>
        <w:t xml:space="preserve">2. </w:t>
      </w:r>
      <w:r>
        <w:rPr>
          <w:b/>
        </w:rPr>
        <w:t>Cerner</w:t>
      </w:r>
      <w:r>
        <w:t xml:space="preserve"> (Participant in HealtheIntent)</w:t>
      </w:r>
    </w:p>
    <w:p>
      <w:pPr>
        <w:ind w:left="360"/>
      </w:pPr>
      <w:r>
        <w:t xml:space="preserve">3. </w:t>
      </w:r>
      <w:r>
        <w:rPr>
          <w:b/>
        </w:rPr>
        <w:t>Cigna</w:t>
      </w:r>
      <w:r>
        <w:t xml:space="preserve"> (Participant in Health insurance)</w:t>
      </w:r>
    </w:p>
    <w:p>
      <w:pPr>
        <w:ind w:left="360"/>
      </w:pPr>
      <w:r>
        <w:t xml:space="preserve">4. </w:t>
      </w:r>
      <w:r>
        <w:rPr>
          <w:b/>
        </w:rPr>
        <w:t>Fresenius Kabi</w:t>
      </w:r>
      <w:r>
        <w:t xml:space="preserve"> (Participant in Blood volume substitutes)</w:t>
      </w:r>
    </w:p>
    <w:p>
      <w:pPr>
        <w:ind w:left="360"/>
      </w:pPr>
      <w:r>
        <w:t xml:space="preserve">5. </w:t>
      </w:r>
      <w:r>
        <w:rPr>
          <w:b/>
        </w:rPr>
        <w:t>Regeneron Pharmaceuticals</w:t>
      </w:r>
      <w:r>
        <w:t xml:space="preserve"> (Participant in REGEN-COV)</w:t>
      </w:r>
    </w:p>
    <w:p>
      <w:pPr>
        <w:ind w:left="360"/>
      </w:pPr>
      <w:r>
        <w:t xml:space="preserve">6. </w:t>
      </w:r>
      <w:r>
        <w:rPr>
          <w:b/>
        </w:rPr>
        <w:t>Stryker</w:t>
      </w:r>
      <w:r>
        <w:t xml:space="preserve"> (Participant in infection control solutions)</w:t>
      </w:r>
    </w:p>
    <w:p>
      <w:pPr>
        <w:ind w:left="360"/>
      </w:pPr>
      <w:r>
        <w:t xml:space="preserve">7. </w:t>
      </w:r>
      <w:r>
        <w:rPr>
          <w:b/>
        </w:rPr>
        <w:t>Thermo Fisher Scientific</w:t>
      </w:r>
      <w:r>
        <w:t xml:space="preserve"> (Participant in TaqMan Real-Time PCR Assays)</w:t>
      </w:r>
    </w:p>
    <w:p>
      <w:pPr>
        <w:ind w:left="360"/>
      </w:pPr>
      <w:r>
        <w:t xml:space="preserve">8. </w:t>
      </w:r>
      <w:r>
        <w:rPr>
          <w:b/>
        </w:rPr>
        <w:t>Vertex Pharmaceuticals Incorporated</w:t>
      </w:r>
      <w:r>
        <w:t xml:space="preserve"> (Participant in Cystic Fibrosis Treatments)</w:t>
      </w:r>
    </w:p>
    <w:p>
      <w:pPr>
        <w:ind w:left="360"/>
      </w:pPr>
      <w:r>
        <w:t xml:space="preserve">9. </w:t>
      </w:r>
      <w:r>
        <w:rPr>
          <w:b/>
        </w:rPr>
        <w:t>Zymeworks</w:t>
      </w:r>
      <w:r>
        <w:t xml:space="preserve"> (Participant in Antibody Technology Platforms)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