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Wound Debridement Products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Wound Debridement Products (6)</w:t>
      </w:r>
    </w:p>
    <w:p>
      <w:pPr>
        <w:ind w:left="360"/>
      </w:pPr>
      <w:r>
        <w:t xml:space="preserve">1. </w:t>
      </w:r>
      <w:r>
        <w:rPr>
          <w:b/>
        </w:rPr>
        <w:t>3M Health Care</w:t>
      </w:r>
      <w:r>
        <w:t xml:space="preserve"> (Distributor of information)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Mölnlycke Health Care</w:t>
      </w:r>
      <w:r>
        <w:t xml:space="preserve"> (Distributor of corporate)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Medi-Weightloss Clinics</w:t>
      </w:r>
      <w:r>
        <w:t xml:space="preserve"> (Participant in programs)</w:t>
      </w:r>
    </w:p>
    <w:p>
      <w:pPr>
        <w:ind w:left="360"/>
      </w:pPr>
      <w:r>
        <w:t xml:space="preserve">2. </w:t>
      </w:r>
      <w:r>
        <w:rPr>
          <w:b/>
        </w:rPr>
        <w:t>Smith &amp; Nephew</w:t>
      </w:r>
      <w:r>
        <w:t xml:space="preserve"> (Participant in indications)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TD SYNNEX</w:t>
      </w:r>
      <w:r>
        <w:t xml:space="preserve"> - the site did not clearly mention this market - relevance could not be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