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Pharmaceutical Anti-Counterfeiting Technologies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Pharmaceutical Anti-Counterfeiting Technologies (10)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Authena</w:t>
      </w:r>
      <w:r>
        <w:t xml:space="preserve"> (Distributor of everything)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Covectra</w:t>
      </w:r>
      <w:r>
        <w:t xml:space="preserve"> (Distributor of authentitrack)</w:t>
      </w:r>
    </w:p>
    <w:p>
      <w:pPr>
        <w:ind w:left="360"/>
      </w:pPr>
      <w:r>
        <w:t xml:space="preserve">5. </w:t>
      </w:r>
      <w:r>
        <w:rPr>
          <w:b/>
        </w:rPr>
        <w:t>Cypheme</w:t>
      </w:r>
      <w:r>
        <w:t xml:space="preserve"> (Distributor of counterfeiting)</w:t>
      </w:r>
    </w:p>
    <w:p>
      <w:pPr>
        <w:ind w:left="360"/>
      </w:pPr>
      <w:r>
        <w:t xml:space="preserve">6.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Optel Group</w:t>
      </w:r>
      <w:r>
        <w:t xml:space="preserve"> (Distributor of traceability)</w:t>
      </w:r>
    </w:p>
    <w:p>
      <w:pPr>
        <w:ind w:left="360"/>
      </w:pPr>
      <w:r>
        <w:t xml:space="preserve">9. </w:t>
      </w:r>
      <w:r>
        <w:rPr>
          <w:b/>
        </w:rPr>
        <w:t>Rfid</w:t>
      </w:r>
      <w:r>
        <w:t xml:space="preserve"> (Distributor of frequency)</w:t>
      </w:r>
    </w:p>
    <w:p>
      <w:pPr>
        <w:ind w:left="360"/>
      </w:pPr>
      <w:r>
        <w:t xml:space="preserve">10. </w:t>
      </w:r>
      <w:r>
        <w:rPr>
          <w:b/>
        </w:rPr>
        <w:t>TraceLink</w:t>
      </w:r>
      <w:r>
        <w:t xml:space="preserve"> (Distributor of supply)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TÜV Rheinland</w:t>
      </w:r>
      <w:r>
        <w:t xml:space="preserve"> (Participant in choose)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