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Respiratory Monitoring Equipment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Respiratory Monitoring Equipment (2)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Ryumedical</w:t>
      </w:r>
      <w:r>
        <w:t xml:space="preserve"> (Distributor of protected)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Honeywell</w:t>
      </w:r>
      <w:r>
        <w:t xml:space="preserve"> (Participant in technologies)</w:t>
      </w:r>
    </w:p>
    <w:p>
      <w:pPr>
        <w:ind w:left="360"/>
      </w:pPr>
      <w:r>
        <w:t xml:space="preserve">2. </w:t>
      </w:r>
      <w:r>
        <w:rPr>
          <w:b/>
        </w:rPr>
        <w:t>Masimo</w:t>
      </w:r>
      <w:r>
        <w:t xml:space="preserve"> (Participant in responsive)</w:t>
      </w:r>
    </w:p>
    <w:p>
      <w:pPr>
        <w:ind w:left="360"/>
      </w:pPr>
      <w:r>
        <w:t xml:space="preserve">3. </w:t>
      </w:r>
      <w:r>
        <w:rPr>
          <w:b/>
        </w:rPr>
        <w:t>Ocentmed</w:t>
      </w:r>
      <w:r>
        <w:t xml:space="preserve"> (Participant in protected)</w:t>
      </w:r>
    </w:p>
    <w:p>
      <w:pPr>
        <w:ind w:left="360"/>
      </w:pPr>
      <w:r>
        <w:t xml:space="preserve">4.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