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Die Products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RF Die Products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rf die products, semiconductor dies)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pacific)</w:t>
      </w:r>
    </w:p>
    <w:p>
      <w:pPr>
        <w:ind w:left="360"/>
      </w:pPr>
      <w:r>
        <w:t xml:space="preserve">3.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5.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6. </w:t>
      </w:r>
      <w:r>
        <w:rPr>
          <w:b/>
        </w:rPr>
        <w:t>RFMW</w:t>
      </w:r>
      <w:r>
        <w:t xml:space="preserve"> (Distributor of status)</w:t>
      </w:r>
    </w:p>
    <w:p>
      <w:pPr>
        <w:ind w:left="360"/>
      </w:pPr>
      <w:r>
        <w:t xml:space="preserve">7. </w:t>
      </w:r>
      <w:r>
        <w:rPr>
          <w:b/>
        </w:rPr>
        <w:t>Semiconductorinsight</w:t>
      </w:r>
      <w:r>
        <w:t xml:space="preserve"> (Distributor of uncategorized)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Anaren</w:t>
      </w:r>
      <w:r>
        <w:t xml:space="preserve"> (Participant in technologies)</w:t>
      </w:r>
    </w:p>
    <w:p>
      <w:pPr>
        <w:ind w:left="360"/>
      </w:pPr>
      <w:r>
        <w:t xml:space="preserve">2. </w:t>
      </w:r>
      <w:r>
        <w:rPr>
          <w:b/>
        </w:rPr>
        <w:t>Laird Connectivity</w:t>
      </w:r>
      <w:r>
        <w:t xml:space="preserve"> (Participant in rf solutions and services)</w:t>
      </w:r>
    </w:p>
    <w:p>
      <w:pPr>
        <w:ind w:left="360"/>
      </w:pPr>
      <w:r>
        <w:t xml:space="preserve">3. </w:t>
      </w:r>
      <w:r>
        <w:rPr>
          <w:b/>
        </w:rPr>
        <w:t>RF Globalnet</w:t>
      </w:r>
      <w:r>
        <w:t xml:space="preserve"> (Participant in Online resource for rf products and services)</w:t>
      </w:r>
    </w:p>
    <w:p>
      <w:pPr>
        <w:ind w:left="360"/>
      </w:pPr>
      <w:r>
        <w:t xml:space="preserve">4. </w:t>
      </w:r>
      <w:r>
        <w:rPr>
          <w:b/>
        </w:rPr>
        <w:t>Techni-Tool</w:t>
      </w:r>
      <w:r>
        <w:t xml:space="preserve"> (Participant in And reseller of rf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