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Sarcoma Treatment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Sarcoma Treatment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Biospecialized</w:t>
      </w:r>
      <w:r>
        <w:t xml:space="preserve"> (Distributor of fresenius)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6.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Oncolink</w:t>
      </w:r>
      <w:r>
        <w:t xml:space="preserve"> (Distributor of toggle)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Nccs</w:t>
      </w:r>
      <w:r>
        <w:t xml:space="preserve"> (Participant in singapore)</w:t>
      </w:r>
    </w:p>
    <w:p>
      <w:pPr>
        <w:ind w:left="360"/>
      </w:pPr>
      <w:r>
        <w:t xml:space="preserve">3. </w:t>
      </w:r>
      <w:r>
        <w:rPr>
          <w:b/>
        </w:rPr>
        <w:t>Omnicare</w:t>
      </w:r>
      <w:r>
        <w:t xml:space="preserve"> (Participant in pharmaceutical services provider for Sarcoma Treatment)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Simoncinicancertherapy</w:t>
      </w:r>
      <w:r>
        <w:t xml:space="preserve"> (Participant in simoncini)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