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Schizophrenia Therapeutic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Schizophrenia Therapeutic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Mentalhealth</w:t>
      </w:r>
      <w:r>
        <w:t xml:space="preserve"> (Distributor of mental)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CVS Health</w:t>
      </w:r>
      <w:r>
        <w:t xml:space="preserve"> (Participant in antipsychotics, schizophrenia treatment)</w:t>
      </w:r>
    </w:p>
    <w:p>
      <w:pPr>
        <w:ind w:left="360"/>
      </w:pPr>
      <w:r>
        <w:t xml:space="preserve">2.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3.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4. </w:t>
      </w:r>
      <w:r>
        <w:rPr>
          <w:b/>
        </w:rPr>
        <w:t>Psymatik</w:t>
      </w:r>
      <w:r>
        <w:t xml:space="preserve"> (Participant in guidelines)</w:t>
      </w:r>
    </w:p>
    <w:p>
      <w:pPr>
        <w:ind w:left="360"/>
      </w:pPr>
      <w:r>
        <w:t xml:space="preserve">5. </w:t>
      </w:r>
      <w:r>
        <w:rPr>
          <w:b/>
        </w:rPr>
        <w:t>Teladoc Health</w:t>
      </w:r>
      <w:r>
        <w:t xml:space="preserve"> (Participant in individuals)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