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Secondary Hyperparathyroidism Treatment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Secondary Hyperparathyroidism Treatment (8)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Fresenius Medical Care</w:t>
      </w:r>
      <w:r>
        <w:t xml:space="preserve"> (Distributor of professionals)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Medsoftwares</w:t>
      </w:r>
      <w:r>
        <w:t xml:space="preserve"> (Distributor of hospitalos)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Qrisk</w:t>
      </w:r>
      <w:r>
        <w:t xml:space="preserve"> (Distributor of calculator)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(Distributor of sitewide)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DaVita</w:t>
      </w:r>
      <w:r>
        <w:t xml:space="preserve"> (Participant in partnerships)</w:t>
      </w:r>
    </w:p>
    <w:p>
      <w:pPr>
        <w:ind w:left="360"/>
      </w:pPr>
      <w:r>
        <w:t xml:space="preserve">4. </w:t>
      </w:r>
      <w:r>
        <w:rPr>
          <w:b/>
        </w:rPr>
        <w:t>Roche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