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 Carriage Ejector Racks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2. </w:t>
      </w:r>
      <w:r>
        <w:rPr>
          <w:b/>
        </w:rPr>
        <w:t>Northrop Grumman</w:t>
      </w:r>
      <w:r>
        <w:t xml:space="preserve"> (Participant in corporation)</w:t>
      </w:r>
    </w:p>
    <w:p>
      <w:pPr>
        <w:ind w:left="360"/>
      </w:pPr>
      <w:r>
        <w:t xml:space="preserve">3. </w:t>
      </w:r>
      <w:r>
        <w:rPr>
          <w:b/>
        </w:rPr>
        <w:t>Rheinmetall AG</w:t>
      </w:r>
      <w:r>
        <w:t xml:space="preserve"> (Participant in jumptomain)</w:t>
      </w:r>
    </w:p>
    <w:p>
      <w:pPr>
        <w:ind w:left="360"/>
      </w:pPr>
      <w:r>
        <w:t xml:space="preserve">4. </w:t>
      </w:r>
      <w:r>
        <w:rPr>
          <w:b/>
        </w:rPr>
        <w:t>SAIC</w:t>
      </w:r>
      <w:r>
        <w:t xml:space="preserve"> (Participant in investors)</w:t>
      </w:r>
    </w:p>
    <w:p>
      <w:pPr>
        <w:ind w:left="360"/>
      </w:pPr>
      <w:r>
        <w:t xml:space="preserve">5. </w:t>
      </w:r>
      <w:r>
        <w:rPr>
          <w:b/>
        </w:rPr>
        <w:t>Thales Group</w:t>
      </w:r>
      <w:r>
        <w:t xml:space="preserve"> (Participant in investors)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