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Single-Use Bioprocessing Systems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Single-Use Bioprocessing Systems (4)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Biotechne</w:t>
      </w:r>
      <w:r>
        <w:t xml:space="preserve"> (Distributor of systems)</w:t>
      </w:r>
    </w:p>
    <w:p>
      <w:pPr>
        <w:ind w:left="360"/>
      </w:pPr>
      <w:r>
        <w:t xml:space="preserve">3. </w:t>
      </w:r>
      <w:r>
        <w:rPr>
          <w:b/>
        </w:rPr>
        <w:t>Fujifilm Diosynth Biotechnologies</w:t>
      </w:r>
      <w:r>
        <w:t xml:space="preserve"> (Distributor of capabilities)</w:t>
      </w:r>
    </w:p>
    <w:p>
      <w:pPr>
        <w:ind w:left="360"/>
      </w:pPr>
      <w:r>
        <w:t xml:space="preserve">4. </w:t>
      </w:r>
      <w:r>
        <w:rPr>
          <w:b/>
        </w:rPr>
        <w:t>Waters</w:t>
      </w:r>
      <w:r>
        <w:t xml:space="preserve"> (Distributor of comprehensive)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ABEC,</w:t>
      </w:r>
      <w:r>
        <w:t xml:space="preserve"> (Participant in solutions)</w:t>
      </w:r>
    </w:p>
    <w:p>
      <w:pPr>
        <w:ind w:left="360"/>
      </w:pPr>
      <w:r>
        <w:t xml:space="preserve">2. </w:t>
      </w:r>
      <w:r>
        <w:rPr>
          <w:b/>
        </w:rPr>
        <w:t>Cytiva</w:t>
      </w:r>
      <w:r>
        <w:t xml:space="preserve"> (Participant in and service provider for Single-Use Bioprocessing Systems)</w:t>
      </w:r>
    </w:p>
    <w:p>
      <w:pPr>
        <w:ind w:left="360"/>
      </w:pPr>
      <w:r>
        <w:t xml:space="preserve">3. </w:t>
      </w:r>
      <w:r>
        <w:rPr>
          <w:b/>
        </w:rPr>
        <w:t>Eppendorf AG</w:t>
      </w:r>
      <w:r>
        <w:t xml:space="preserve"> (Participant in skiptonavigation)</w:t>
      </w:r>
    </w:p>
    <w:p>
      <w:pPr>
        <w:ind w:left="360"/>
      </w:pPr>
      <w:r>
        <w:t xml:space="preserve">4. </w:t>
      </w:r>
      <w:r>
        <w:rPr>
          <w:b/>
        </w:rPr>
        <w:t>Lonza Group</w:t>
      </w:r>
      <w:r>
        <w:t xml:space="preserve"> (Participant in integrated)</w:t>
      </w:r>
    </w:p>
    <w:p>
      <w:pPr>
        <w:ind w:left="360"/>
      </w:pPr>
      <w:r>
        <w:t xml:space="preserve">5.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6. </w:t>
      </w:r>
      <w:r>
        <w:rPr>
          <w:b/>
        </w:rPr>
        <w:t>Pall</w:t>
      </w:r>
      <w:r>
        <w:t xml:space="preserve"> (Participant in account)</w:t>
      </w:r>
    </w:p>
    <w:p>
      <w:pPr>
        <w:ind w:left="360"/>
      </w:pPr>
      <w:r>
        <w:t xml:space="preserve">7. </w:t>
      </w:r>
      <w:r>
        <w:rPr>
          <w:b/>
        </w:rPr>
        <w:t>Repligen</w:t>
      </w:r>
      <w:r>
        <w:t xml:space="preserve"> (Participant in corporate)</w:t>
      </w:r>
    </w:p>
    <w:p>
      <w:pPr>
        <w:ind w:left="360"/>
      </w:pPr>
      <w:r>
        <w:t xml:space="preserve">8. </w:t>
      </w:r>
      <w:r>
        <w:rPr>
          <w:b/>
        </w:rPr>
        <w:t>Sartorius AG</w:t>
      </w:r>
      <w:r>
        <w:t xml:space="preserve"> (Participant in product)</w:t>
      </w:r>
    </w:p>
    <w:p>
      <w:pPr>
        <w:ind w:left="360"/>
      </w:pPr>
      <w:r>
        <w:t xml:space="preserve">9.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