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Skin Rash Treatment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Skin Rash Treatment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Cleveland Clinic</w:t>
      </w:r>
      <w:r>
        <w:t xml:space="preserve"> (Participant in emergency)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topical treatments, oral medications)</w:t>
      </w:r>
    </w:p>
    <w:p>
      <w:pPr>
        <w:ind w:left="360"/>
      </w:pPr>
      <w:r>
        <w:t xml:space="preserve">3. </w:t>
      </w:r>
      <w:r>
        <w:rPr>
          <w:b/>
        </w:rPr>
        <w:t>Rite Aid</w:t>
      </w:r>
      <w:r>
        <w:t xml:space="preserve"> (Participant in topical treatments, oral medications)</w:t>
      </w:r>
    </w:p>
    <w:p>
      <w:pPr>
        <w:ind w:left="360"/>
      </w:pPr>
      <w:r>
        <w:t xml:space="preserve">4. </w:t>
      </w:r>
      <w:r>
        <w:rPr>
          <w:b/>
        </w:rPr>
        <w:t>Skin Health Alliance</w:t>
      </w:r>
      <w:r>
        <w:t xml:space="preserve"> (Participant in browser)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