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Materials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Smart Materials (4)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SABIC</w:t>
      </w:r>
      <w:r>
        <w:t xml:space="preserve"> (Distributor of equivalent)</w:t>
      </w:r>
    </w:p>
    <w:p>
      <w:pPr>
        <w:ind w:left="360"/>
      </w:pPr>
      <w:r>
        <w:t xml:space="preserve">4. </w:t>
      </w:r>
      <w:r>
        <w:rPr>
          <w:b/>
        </w:rPr>
        <w:t>Wacker Chemie AG</w:t>
      </w:r>
      <w:r>
        <w:t xml:space="preserve"> (Distributor of unsuccessful)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Asms Branch</w:t>
      </w:r>
      <w:r>
        <w:t xml:space="preserve"> (Participant in members)</w:t>
      </w:r>
    </w:p>
    <w:p>
      <w:pPr>
        <w:ind w:left="360"/>
      </w:pPr>
      <w:r>
        <w:t xml:space="preserve">2. </w:t>
      </w:r>
      <w:r>
        <w:rPr>
          <w:b/>
        </w:rPr>
        <w:t>Frost &amp; Sullivan</w:t>
      </w:r>
      <w:r>
        <w:t xml:space="preserve"> (Participant in Service provider for smart materials consulting)</w:t>
      </w:r>
    </w:p>
    <w:p>
      <w:pPr>
        <w:ind w:left="360"/>
      </w:pPr>
      <w:r>
        <w:t xml:space="preserve">3. </w:t>
      </w:r>
      <w:r>
        <w:rPr>
          <w:b/>
        </w:rPr>
        <w:t>Grainger</w:t>
      </w:r>
      <w:r>
        <w:t xml:space="preserve"> (Participant in account)</w:t>
      </w:r>
    </w:p>
    <w:p>
      <w:pPr>
        <w:ind w:left="360"/>
      </w:pPr>
      <w:r>
        <w:t xml:space="preserve">4.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5. </w:t>
      </w:r>
      <w:r>
        <w:rPr>
          <w:b/>
        </w:rPr>
        <w:t>KPMG</w:t>
      </w:r>
      <w:r>
        <w:t xml:space="preserve"> (Participant in preferences)</w:t>
      </w:r>
    </w:p>
    <w:p>
      <w:pPr>
        <w:ind w:left="360"/>
      </w:pPr>
      <w:r>
        <w:t xml:space="preserve">6. </w:t>
      </w:r>
      <w:r>
        <w:rPr>
          <w:b/>
        </w:rPr>
        <w:t>McMaster-Carr</w:t>
      </w:r>
      <w:r>
        <w:t xml:space="preserve"> (Participant in abrading)</w:t>
      </w:r>
    </w:p>
    <w:p>
      <w:pPr>
        <w:ind w:left="360"/>
      </w:pPr>
      <w:r>
        <w:t xml:space="preserve">7. </w:t>
      </w:r>
      <w:r>
        <w:rPr>
          <w:b/>
        </w:rPr>
        <w:t>RS Components</w:t>
      </w:r>
      <w:r>
        <w:t xml:space="preserve"> (Participant in distrelec)</w:t>
      </w:r>
    </w:p>
    <w:p>
      <w:pPr>
        <w:ind w:left="360"/>
      </w:pPr>
      <w:r>
        <w:t xml:space="preserve">8. </w:t>
      </w:r>
      <w:r>
        <w:rPr>
          <w:b/>
        </w:rPr>
        <w:t>Siemens AG</w:t>
      </w:r>
      <w:r>
        <w:t xml:space="preserve"> (Participant in engineer)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