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Sodium PCA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Sodium PCA (3)</w:t>
      </w:r>
    </w:p>
    <w:p>
      <w:pPr>
        <w:ind w:left="360"/>
      </w:pPr>
      <w:r>
        <w:t xml:space="preserve">1. </w:t>
      </w:r>
      <w:r>
        <w:rPr>
          <w:b/>
        </w:rPr>
        <w:t>Azelis</w:t>
      </w:r>
      <w:r>
        <w:t xml:space="preserve"> (Distributor of insights)</w:t>
      </w:r>
    </w:p>
    <w:p>
      <w:pPr>
        <w:ind w:left="360"/>
      </w:pPr>
      <w:r>
        <w:t xml:space="preserve">2. </w:t>
      </w:r>
      <w:r>
        <w:rPr>
          <w:b/>
        </w:rPr>
        <w:t>Kraton</w:t>
      </w:r>
      <w:r>
        <w:t xml:space="preserve"> (Distributor of corporation)</w:t>
      </w:r>
    </w:p>
    <w:p>
      <w:pPr>
        <w:ind w:left="360"/>
      </w:pPr>
      <w:r>
        <w:t xml:space="preserve">3. </w:t>
      </w:r>
      <w:r>
        <w:rPr>
          <w:b/>
        </w:rPr>
        <w:t>Solvay S.A.</w:t>
      </w:r>
      <w:r>
        <w:t xml:space="preserve"> (Distributor of searching)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Ashland Global Holdings</w:t>
      </w:r>
      <w:r>
        <w:t xml:space="preserve"> (Participant in specialty chemicals for Sodium)</w:t>
      </w:r>
    </w:p>
    <w:p>
      <w:pPr>
        <w:ind w:left="360"/>
      </w:pPr>
      <w:r>
        <w:t xml:space="preserve">2. </w:t>
      </w:r>
      <w:r>
        <w:rPr>
          <w:b/>
        </w:rPr>
        <w:t>Clariant AG</w:t>
      </w:r>
      <w:r>
        <w:t xml:space="preserve"> (Participant in translate)</w:t>
      </w:r>
    </w:p>
    <w:p>
      <w:pPr>
        <w:ind w:left="360"/>
      </w:pPr>
      <w:r>
        <w:t xml:space="preserve">3. </w:t>
      </w:r>
      <w:r>
        <w:rPr>
          <w:b/>
        </w:rPr>
        <w:t>Croda International Plc</w:t>
      </w:r>
      <w:r>
        <w:t xml:space="preserve"> (Participant)</w:t>
      </w:r>
    </w:p>
    <w:p>
      <w:pPr>
        <w:ind w:left="360"/>
      </w:pPr>
      <w:r>
        <w:t xml:space="preserve">4. </w:t>
      </w:r>
      <w:r>
        <w:rPr>
          <w:b/>
        </w:rPr>
        <w:t>IMCD Group</w:t>
      </w:r>
      <w:r>
        <w:t xml:space="preserve"> (Participant in security)</w:t>
      </w:r>
    </w:p>
    <w:p>
      <w:pPr>
        <w:ind w:left="360"/>
      </w:pPr>
      <w:r>
        <w:t xml:space="preserve">5. </w:t>
      </w:r>
      <w:r>
        <w:rPr>
          <w:b/>
        </w:rPr>
        <w:t>Innospec</w:t>
      </w:r>
      <w:r>
        <w:t xml:space="preserve"> (Participant in background)</w:t>
      </w:r>
    </w:p>
    <w:p>
      <w:pPr>
        <w:ind w:left="360"/>
      </w:pPr>
      <w:r>
        <w:t xml:space="preserve">6. </w:t>
      </w:r>
      <w:r>
        <w:rPr>
          <w:b/>
        </w:rPr>
        <w:t>SABIC</w:t>
      </w:r>
      <w:r>
        <w:t xml:space="preserve"> (Participant in equivalent)</w:t>
      </w:r>
    </w:p>
    <w:p>
      <w:pPr>
        <w:ind w:left="360"/>
      </w:pPr>
      <w:r>
        <w:t xml:space="preserve">7. </w:t>
      </w:r>
      <w:r>
        <w:rPr>
          <w:b/>
        </w:rPr>
        <w:t>Univar Solutions</w:t>
      </w:r>
      <w:r>
        <w:t xml:space="preserve"> (Participant in correctly)</w:t>
      </w:r>
    </w:p>
    <w:p>
      <w:pPr>
        <w:ind w:left="360"/>
      </w:pPr>
      <w:r>
        <w:t xml:space="preserve">8. </w:t>
      </w:r>
      <w:r>
        <w:rPr>
          <w:b/>
        </w:rPr>
        <w:t>Wacker Chemie AG</w:t>
      </w:r>
      <w:r>
        <w:t xml:space="preserve"> (Participant in unsuccessful)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