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Southern Blotting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Southern Blotting (1)</w:t>
      </w:r>
    </w:p>
    <w:p>
      <w:pPr>
        <w:ind w:left="360"/>
      </w:pPr>
      <w:r>
        <w:t xml:space="preserve">1. </w:t>
      </w:r>
      <w:r>
        <w:rPr>
          <w:b/>
        </w:rPr>
        <w:t>Agilent Technologies</w:t>
      </w:r>
      <w:r>
        <w:t xml:space="preserve"> (Distributor of scientists)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Bio-Rad Laboratories</w:t>
      </w:r>
      <w:r>
        <w:t xml:space="preserve"> (Participant in southern blotting products and services)</w:t>
      </w:r>
    </w:p>
    <w:p>
      <w:pPr>
        <w:ind w:left="360"/>
      </w:pPr>
      <w:r>
        <w:t xml:space="preserve">2. </w:t>
      </w:r>
      <w:r>
        <w:rPr>
          <w:b/>
        </w:rPr>
        <w:t>Biorender</w:t>
      </w:r>
      <w:r>
        <w:t xml:space="preserve"> (Participant in features)</w:t>
      </w:r>
    </w:p>
    <w:p>
      <w:pPr>
        <w:ind w:left="360"/>
      </w:pPr>
      <w:r>
        <w:t xml:space="preserve">3.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4.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5. </w:t>
      </w:r>
      <w:r>
        <w:rPr>
          <w:b/>
        </w:rPr>
        <w:t>Promega</w:t>
      </w:r>
      <w:r>
        <w:t xml:space="preserve"> (Participant in username)</w:t>
      </w:r>
    </w:p>
    <w:p>
      <w:pPr>
        <w:ind w:left="360"/>
      </w:pPr>
      <w:r>
        <w:t xml:space="preserve">6. </w:t>
      </w:r>
      <w:r>
        <w:rPr>
          <w:b/>
        </w:rPr>
        <w:t>SeraCare Life Sciences</w:t>
      </w:r>
      <w:r>
        <w:t xml:space="preserve"> (Participant in diagnostics)</w:t>
      </w:r>
    </w:p>
    <w:p>
      <w:pPr>
        <w:ind w:left="360"/>
      </w:pPr>
      <w:r>
        <w:t xml:space="preserve">7. </w:t>
      </w:r>
      <w:r>
        <w:rPr>
          <w:b/>
        </w:rPr>
        <w:t>VWR International</w:t>
      </w:r>
      <w:r>
        <w:t xml:space="preserve"> (Participant in laboratory reagents and supplies for Southern Blotting)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