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Starch Derivatives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Starch Derivatives (3)</w:t>
      </w:r>
    </w:p>
    <w:p>
      <w:pPr>
        <w:ind w:left="360"/>
      </w:pPr>
      <w:r>
        <w:t xml:space="preserve">1. </w:t>
      </w:r>
      <w:r>
        <w:rPr>
          <w:b/>
        </w:rPr>
        <w:t>Eigerholdings</w:t>
      </w:r>
      <w:r>
        <w:t xml:space="preserve"> (Distributor of foodservice)</w:t>
      </w:r>
    </w:p>
    <w:p>
      <w:pPr>
        <w:ind w:left="360"/>
      </w:pPr>
      <w:r>
        <w:t xml:space="preserve">2. </w:t>
      </w:r>
      <w:r>
        <w:rPr>
          <w:b/>
        </w:rPr>
        <w:t>Industrialspecialtiesllc</w:t>
      </w:r>
      <w:r>
        <w:t xml:space="preserve"> (Distributor of industrial)</w:t>
      </w:r>
    </w:p>
    <w:p>
      <w:pPr>
        <w:ind w:left="360"/>
      </w:pPr>
      <w:r>
        <w:t xml:space="preserve">3.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BASF</w:t>
      </w:r>
      <w:r>
        <w:t xml:space="preserve"> (Participant in quarterly)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